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FBA" w:rsidRPr="00197DF8" w:rsidRDefault="00BB6856" w:rsidP="004E3F22">
      <w:pPr>
        <w:pStyle w:val="TypeDocument"/>
        <w:rPr>
          <w:lang w:val="fr-FR"/>
        </w:rPr>
      </w:pPr>
      <w:r>
        <w:rPr>
          <w:w w:val="100"/>
          <w:lang w:val="en-US"/>
        </w:rPr>
        <w:drawing>
          <wp:anchor distT="0" distB="0" distL="114300" distR="114300" simplePos="0" relativeHeight="251657728" behindDoc="0" locked="0" layoutInCell="1" allowOverlap="1" wp14:anchorId="0C6D8803" wp14:editId="610783D9">
            <wp:simplePos x="0" y="0"/>
            <wp:positionH relativeFrom="margin">
              <wp:align>right</wp:align>
            </wp:positionH>
            <wp:positionV relativeFrom="margin">
              <wp:align>top</wp:align>
            </wp:positionV>
            <wp:extent cx="1390650" cy="674370"/>
            <wp:effectExtent l="19050" t="0" r="0" b="0"/>
            <wp:wrapSquare wrapText="bothSides"/>
            <wp:docPr id="9" name="Image 9" descr="C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LOGO"/>
                    <pic:cNvPicPr>
                      <a:picLocks noChangeAspect="1" noChangeArrowheads="1"/>
                    </pic:cNvPicPr>
                  </pic:nvPicPr>
                  <pic:blipFill>
                    <a:blip r:embed="rId8" cstate="print"/>
                    <a:srcRect/>
                    <a:stretch>
                      <a:fillRect/>
                    </a:stretch>
                  </pic:blipFill>
                  <pic:spPr bwMode="auto">
                    <a:xfrm>
                      <a:off x="0" y="0"/>
                      <a:ext cx="1390650" cy="674370"/>
                    </a:xfrm>
                    <a:prstGeom prst="rect">
                      <a:avLst/>
                    </a:prstGeom>
                    <a:noFill/>
                    <a:ln w="9525">
                      <a:noFill/>
                      <a:miter lim="800000"/>
                      <a:headEnd/>
                      <a:tailEnd/>
                    </a:ln>
                  </pic:spPr>
                </pic:pic>
              </a:graphicData>
            </a:graphic>
          </wp:anchor>
        </w:drawing>
      </w:r>
      <w:r w:rsidR="00BA19BD" w:rsidRPr="00301CC4">
        <w:rPr>
          <w:lang w:val="fr-BE"/>
        </w:rPr>
        <w:t>Note</w:t>
      </w:r>
    </w:p>
    <w:p w:rsidR="00135FBA" w:rsidRPr="00301CC4" w:rsidRDefault="00960A3F" w:rsidP="004E3F22">
      <w:pPr>
        <w:pStyle w:val="Service"/>
      </w:pPr>
      <w:r w:rsidRPr="00301CC4">
        <w:t>Service</w:t>
      </w:r>
      <w:r w:rsidR="00BA19BD" w:rsidRPr="00301CC4">
        <w:t xml:space="preserve"> d’études et de formation</w:t>
      </w:r>
    </w:p>
    <w:p w:rsidR="00135FBA" w:rsidRPr="00301CC4" w:rsidRDefault="00301CC4" w:rsidP="004E3F22">
      <w:pPr>
        <w:pStyle w:val="Service"/>
      </w:pPr>
      <w:r w:rsidRPr="00301CC4">
        <w:t>CNE</w:t>
      </w:r>
    </w:p>
    <w:p w:rsidR="00135FBA" w:rsidRDefault="00135FBA" w:rsidP="004E3F22">
      <w:pPr>
        <w:rPr>
          <w:szCs w:val="20"/>
          <w:lang w:val="fr-BE"/>
        </w:rPr>
      </w:pPr>
    </w:p>
    <w:p w:rsidR="00135FBA" w:rsidRPr="00BA19BD" w:rsidRDefault="00135FBA" w:rsidP="004E3F22">
      <w:pPr>
        <w:rPr>
          <w:szCs w:val="20"/>
          <w:lang w:val="fr-BE"/>
        </w:rPr>
      </w:pPr>
    </w:p>
    <w:tbl>
      <w:tblPr>
        <w:tblW w:w="0" w:type="auto"/>
        <w:tblBorders>
          <w:top w:val="single" w:sz="4" w:space="0" w:color="auto"/>
          <w:bottom w:val="single" w:sz="4" w:space="0" w:color="auto"/>
        </w:tblBorders>
        <w:tblLook w:val="0000" w:firstRow="0" w:lastRow="0" w:firstColumn="0" w:lastColumn="0" w:noHBand="0" w:noVBand="0"/>
      </w:tblPr>
      <w:tblGrid>
        <w:gridCol w:w="1772"/>
        <w:gridCol w:w="1811"/>
        <w:gridCol w:w="3846"/>
        <w:gridCol w:w="1593"/>
      </w:tblGrid>
      <w:tr w:rsidR="00F919AA" w:rsidRPr="00F90099" w:rsidTr="004F68E9">
        <w:trPr>
          <w:trHeight w:val="209"/>
        </w:trPr>
        <w:tc>
          <w:tcPr>
            <w:tcW w:w="1809" w:type="dxa"/>
            <w:tcMar>
              <w:top w:w="57" w:type="dxa"/>
            </w:tcMar>
          </w:tcPr>
          <w:p w:rsidR="00F919AA" w:rsidRPr="00F90099" w:rsidRDefault="00F919AA" w:rsidP="004E3F22">
            <w:pPr>
              <w:rPr>
                <w:sz w:val="18"/>
                <w:szCs w:val="18"/>
                <w:lang w:val="fr-BE"/>
              </w:rPr>
            </w:pPr>
            <w:r w:rsidRPr="00F90099">
              <w:rPr>
                <w:sz w:val="18"/>
                <w:szCs w:val="18"/>
                <w:lang w:val="fr-BE"/>
              </w:rPr>
              <w:t>Rédaction</w:t>
            </w:r>
          </w:p>
        </w:tc>
        <w:tc>
          <w:tcPr>
            <w:tcW w:w="1843" w:type="dxa"/>
          </w:tcPr>
          <w:p w:rsidR="00F919AA" w:rsidRPr="00F90099" w:rsidRDefault="00F919AA" w:rsidP="004E3F22">
            <w:pPr>
              <w:rPr>
                <w:sz w:val="18"/>
                <w:szCs w:val="18"/>
                <w:lang w:val="fr-BE"/>
              </w:rPr>
            </w:pPr>
            <w:r>
              <w:rPr>
                <w:sz w:val="18"/>
                <w:szCs w:val="18"/>
                <w:lang w:val="fr-BE"/>
              </w:rPr>
              <w:t>Destinataire</w:t>
            </w:r>
          </w:p>
        </w:tc>
        <w:tc>
          <w:tcPr>
            <w:tcW w:w="3969" w:type="dxa"/>
            <w:tcMar>
              <w:top w:w="57" w:type="dxa"/>
            </w:tcMar>
          </w:tcPr>
          <w:p w:rsidR="00F919AA" w:rsidRPr="00F90099" w:rsidRDefault="00F919AA" w:rsidP="004E3F22">
            <w:pPr>
              <w:rPr>
                <w:sz w:val="18"/>
                <w:szCs w:val="18"/>
                <w:lang w:val="fr-BE"/>
              </w:rPr>
            </w:pPr>
            <w:r w:rsidRPr="00F90099">
              <w:rPr>
                <w:sz w:val="18"/>
                <w:szCs w:val="18"/>
                <w:lang w:val="fr-BE"/>
              </w:rPr>
              <w:t>Référence</w:t>
            </w:r>
          </w:p>
        </w:tc>
        <w:tc>
          <w:tcPr>
            <w:tcW w:w="1617" w:type="dxa"/>
            <w:tcMar>
              <w:top w:w="57" w:type="dxa"/>
            </w:tcMar>
          </w:tcPr>
          <w:p w:rsidR="00F919AA" w:rsidRPr="00F90099" w:rsidRDefault="00F919AA" w:rsidP="004E3F22">
            <w:pPr>
              <w:rPr>
                <w:sz w:val="18"/>
                <w:szCs w:val="18"/>
                <w:lang w:val="fr-BE"/>
              </w:rPr>
            </w:pPr>
            <w:r w:rsidRPr="00F90099">
              <w:rPr>
                <w:sz w:val="18"/>
                <w:szCs w:val="18"/>
                <w:lang w:val="fr-BE"/>
              </w:rPr>
              <w:t>Nivelles</w:t>
            </w:r>
          </w:p>
        </w:tc>
      </w:tr>
      <w:tr w:rsidR="00F919AA" w:rsidRPr="00F90099" w:rsidTr="004F68E9">
        <w:trPr>
          <w:trHeight w:val="209"/>
        </w:trPr>
        <w:tc>
          <w:tcPr>
            <w:tcW w:w="1809" w:type="dxa"/>
            <w:tcMar>
              <w:bottom w:w="57" w:type="dxa"/>
            </w:tcMar>
          </w:tcPr>
          <w:p w:rsidR="00F919AA" w:rsidRPr="00F90099" w:rsidRDefault="00B17CF4" w:rsidP="004E3F22">
            <w:pPr>
              <w:rPr>
                <w:sz w:val="18"/>
                <w:szCs w:val="18"/>
                <w:lang w:val="fr-BE"/>
              </w:rPr>
            </w:pPr>
            <w:r>
              <w:rPr>
                <w:sz w:val="18"/>
                <w:szCs w:val="18"/>
                <w:lang w:val="fr-BE"/>
              </w:rPr>
              <w:t>Etienne Lebeau</w:t>
            </w:r>
          </w:p>
        </w:tc>
        <w:tc>
          <w:tcPr>
            <w:tcW w:w="1843" w:type="dxa"/>
          </w:tcPr>
          <w:p w:rsidR="00F919AA" w:rsidRPr="00F90099" w:rsidRDefault="00F919AA" w:rsidP="004E3F22">
            <w:pPr>
              <w:jc w:val="left"/>
              <w:rPr>
                <w:sz w:val="18"/>
                <w:szCs w:val="18"/>
                <w:lang w:val="fr-BE"/>
              </w:rPr>
            </w:pPr>
          </w:p>
        </w:tc>
        <w:tc>
          <w:tcPr>
            <w:tcW w:w="3969" w:type="dxa"/>
            <w:tcMar>
              <w:bottom w:w="57" w:type="dxa"/>
            </w:tcMar>
          </w:tcPr>
          <w:p w:rsidR="00F919AA" w:rsidRPr="00F90099" w:rsidRDefault="00F919AA" w:rsidP="004E3F22">
            <w:pPr>
              <w:jc w:val="left"/>
              <w:rPr>
                <w:sz w:val="18"/>
                <w:szCs w:val="18"/>
                <w:lang w:val="fr-BE"/>
              </w:rPr>
            </w:pPr>
          </w:p>
        </w:tc>
        <w:tc>
          <w:tcPr>
            <w:tcW w:w="1617" w:type="dxa"/>
            <w:tcMar>
              <w:bottom w:w="57" w:type="dxa"/>
            </w:tcMar>
          </w:tcPr>
          <w:p w:rsidR="004F68E9" w:rsidRPr="00F90099" w:rsidRDefault="00A54A0E" w:rsidP="00334B5D">
            <w:pPr>
              <w:rPr>
                <w:sz w:val="18"/>
                <w:szCs w:val="18"/>
                <w:lang w:val="fr-BE"/>
              </w:rPr>
            </w:pPr>
            <w:r>
              <w:rPr>
                <w:sz w:val="18"/>
                <w:szCs w:val="18"/>
                <w:lang w:val="fr-BE"/>
              </w:rPr>
              <w:t>08/10</w:t>
            </w:r>
            <w:r w:rsidR="00236C75">
              <w:rPr>
                <w:sz w:val="18"/>
                <w:szCs w:val="18"/>
                <w:lang w:val="fr-BE"/>
              </w:rPr>
              <w:t>/201</w:t>
            </w:r>
            <w:r w:rsidR="00392FF0">
              <w:rPr>
                <w:sz w:val="18"/>
                <w:szCs w:val="18"/>
                <w:lang w:val="fr-BE"/>
              </w:rPr>
              <w:t>6</w:t>
            </w:r>
          </w:p>
        </w:tc>
      </w:tr>
    </w:tbl>
    <w:p w:rsidR="00135FBA" w:rsidRPr="00BA19BD" w:rsidRDefault="00135FBA" w:rsidP="004E3F22">
      <w:pPr>
        <w:rPr>
          <w:lang w:val="fr-BE"/>
        </w:rPr>
      </w:pPr>
    </w:p>
    <w:p w:rsidR="00BD3057" w:rsidRDefault="00A54A0E" w:rsidP="00404223">
      <w:pPr>
        <w:pStyle w:val="IntertitreNoteSEF"/>
      </w:pPr>
      <w:r>
        <w:t>Commentaires sur la déclaration interprétative conjoint</w:t>
      </w:r>
      <w:r w:rsidR="00BC0A76">
        <w:t>e</w:t>
      </w:r>
      <w:r>
        <w:t xml:space="preserve"> sur le CETA</w:t>
      </w:r>
    </w:p>
    <w:p w:rsidR="00357174" w:rsidRPr="00747A63" w:rsidRDefault="00357174" w:rsidP="00357174">
      <w:pPr>
        <w:pStyle w:val="CorpsdetexteNoteSEF"/>
        <w:rPr>
          <w14:glow w14:rad="0">
            <w14:srgbClr w14:val="0070C0"/>
          </w14:glow>
        </w:rPr>
      </w:pPr>
      <w:r w:rsidRPr="00747A63">
        <w:t xml:space="preserve">En </w:t>
      </w:r>
      <w:r w:rsidRPr="00747A63">
        <w:rPr>
          <w:color w:val="0070C0"/>
        </w:rPr>
        <w:t>bleu</w:t>
      </w:r>
      <w:r w:rsidRPr="00747A63">
        <w:t>, des extraits de la déclaration</w:t>
      </w:r>
      <w:r w:rsidR="00747A63" w:rsidRPr="00747A63">
        <w:t> ; e</w:t>
      </w:r>
      <w:r w:rsidRPr="00747A63">
        <w:t xml:space="preserve">n noir, </w:t>
      </w:r>
      <w:r w:rsidR="00ED2014">
        <w:t>nos</w:t>
      </w:r>
      <w:r w:rsidRPr="00747A63">
        <w:t xml:space="preserve"> commentaires</w:t>
      </w:r>
      <w:r w:rsidR="00ED2014">
        <w:t>.</w:t>
      </w:r>
    </w:p>
    <w:p w:rsidR="00FC38E1" w:rsidRDefault="00747A63"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t xml:space="preserve">1. </w:t>
      </w:r>
      <w:r w:rsidR="00A54A0E" w:rsidRPr="00357174">
        <w:rPr>
          <w:i/>
          <w:color w:val="0070C0"/>
          <w:lang w:val="en-US"/>
        </w:rPr>
        <w:t>« [CETA] is a modern and progressive trade agreement which will help boost trade and economic activity »</w:t>
      </w:r>
      <w:r w:rsidR="00357174" w:rsidRPr="00357174">
        <w:rPr>
          <w:i/>
          <w:color w:val="0070C0"/>
          <w:lang w:val="en-US"/>
        </w:rPr>
        <w:t>.</w:t>
      </w:r>
    </w:p>
    <w:p w:rsidR="00747A63" w:rsidRPr="009634C5" w:rsidRDefault="00747A63" w:rsidP="00FC38E1">
      <w:pPr>
        <w:pStyle w:val="CorpsdetexteNoteSEF"/>
        <w:pBdr>
          <w:top w:val="single" w:sz="4" w:space="1" w:color="auto"/>
          <w:left w:val="single" w:sz="4" w:space="4" w:color="auto"/>
          <w:bottom w:val="single" w:sz="4" w:space="1" w:color="auto"/>
          <w:right w:val="single" w:sz="4" w:space="4" w:color="auto"/>
        </w:pBdr>
        <w:spacing w:after="0"/>
        <w:rPr>
          <w:b/>
          <w:color w:val="0070C0"/>
        </w:rPr>
      </w:pPr>
      <w:r w:rsidRPr="009634C5">
        <w:rPr>
          <w:b/>
          <w:color w:val="0070C0"/>
        </w:rPr>
        <w:t>[Préambule]</w:t>
      </w:r>
    </w:p>
    <w:p w:rsidR="00FC38E1" w:rsidRDefault="00FC38E1" w:rsidP="004C7C4B">
      <w:pPr>
        <w:pStyle w:val="CorpsdetexteNoteSEF"/>
        <w:rPr>
          <w:b/>
        </w:rPr>
      </w:pPr>
    </w:p>
    <w:p w:rsidR="00A54A0E" w:rsidRPr="00620871" w:rsidRDefault="00A54A0E" w:rsidP="004C7C4B">
      <w:pPr>
        <w:pStyle w:val="CorpsdetexteNoteSEF"/>
        <w:rPr>
          <w:b/>
        </w:rPr>
      </w:pPr>
      <w:r w:rsidRPr="00620871">
        <w:rPr>
          <w:b/>
        </w:rPr>
        <w:t>Réponse</w:t>
      </w:r>
    </w:p>
    <w:p w:rsidR="00A54A0E" w:rsidRDefault="00A54A0E" w:rsidP="00A54A0E">
      <w:pPr>
        <w:pStyle w:val="CorpsdetexteNoteSEF"/>
      </w:pPr>
      <w:r>
        <w:t>-</w:t>
      </w:r>
      <w:r w:rsidRPr="00A54A0E">
        <w:t>“</w:t>
      </w:r>
      <w:r>
        <w:t xml:space="preserve">accord commercial moderne et progressiste » </w:t>
      </w:r>
      <w:r w:rsidR="00BC0A76">
        <w:t xml:space="preserve">est censé </w:t>
      </w:r>
      <w:r w:rsidR="009634C5">
        <w:t xml:space="preserve">signifier </w:t>
      </w:r>
      <w:r>
        <w:t xml:space="preserve">qu’un équilibre a été trouvé entre </w:t>
      </w:r>
      <w:r w:rsidR="00BC0A76">
        <w:t xml:space="preserve">la </w:t>
      </w:r>
      <w:r>
        <w:t xml:space="preserve">libéralisation et </w:t>
      </w:r>
      <w:r w:rsidR="00BC0A76">
        <w:t xml:space="preserve">la </w:t>
      </w:r>
      <w:r>
        <w:t>capacité des Etats à règlementer.</w:t>
      </w:r>
    </w:p>
    <w:p w:rsidR="00A54A0E" w:rsidRDefault="00A54A0E" w:rsidP="00A54A0E">
      <w:pPr>
        <w:pStyle w:val="CorpsdetexteNoteSEF"/>
      </w:pPr>
      <w:r>
        <w:t xml:space="preserve">-de notre point de vue, le CETA est un accord commercial qui va plus loin </w:t>
      </w:r>
      <w:r w:rsidR="00FC38E1">
        <w:t xml:space="preserve">dans la libéralisation </w:t>
      </w:r>
      <w:r>
        <w:t>que tout ce que l’UE a accepté dans le passé dans les négociations commerciales</w:t>
      </w:r>
      <w:r w:rsidR="00357174">
        <w:t>, en particulier à l’OMC</w:t>
      </w:r>
      <w:r>
        <w:t>.</w:t>
      </w:r>
      <w:r w:rsidR="00357174">
        <w:t xml:space="preserve"> Il est plus néolibéral que l’OMC et s’aligne sur les </w:t>
      </w:r>
      <w:r w:rsidR="00D15298">
        <w:t>s</w:t>
      </w:r>
      <w:r w:rsidR="00357174">
        <w:t xml:space="preserve">tratégies </w:t>
      </w:r>
      <w:r w:rsidR="00BC0A76">
        <w:t xml:space="preserve">et méthodes juridiques </w:t>
      </w:r>
      <w:r w:rsidR="00357174">
        <w:t>utilisées dans les accords commerciaux anglo-saxons (notamment le NAFTA</w:t>
      </w:r>
      <w:r w:rsidR="00BC0A76">
        <w:t xml:space="preserve"> et le TPP</w:t>
      </w:r>
      <w:r w:rsidR="00357174">
        <w:t>) :</w:t>
      </w:r>
    </w:p>
    <w:p w:rsidR="00357174" w:rsidRDefault="00357174" w:rsidP="00357174">
      <w:pPr>
        <w:pStyle w:val="CorpsdetexteNoteSEF"/>
        <w:spacing w:after="0"/>
        <w:ind w:left="720"/>
      </w:pPr>
      <w:r>
        <w:t>-inclusion d’un tribunal investisseur-Etats (à l’</w:t>
      </w:r>
      <w:r w:rsidR="00D15298">
        <w:t>O</w:t>
      </w:r>
      <w:r>
        <w:t>MC : seulement un tribunal de règlement des différends Etat-Etat</w:t>
      </w:r>
      <w:r w:rsidR="00BC0A76">
        <w:t>) ;</w:t>
      </w:r>
    </w:p>
    <w:p w:rsidR="00357174" w:rsidRDefault="00357174" w:rsidP="00357174">
      <w:pPr>
        <w:pStyle w:val="CorpsdetexteNoteSEF"/>
        <w:spacing w:after="0"/>
        <w:ind w:left="720"/>
      </w:pPr>
      <w:r>
        <w:t xml:space="preserve">-inclusion de </w:t>
      </w:r>
      <w:r w:rsidR="00D15298">
        <w:t>nouvelles normes de protection des investisseurs</w:t>
      </w:r>
      <w:r>
        <w:t xml:space="preserve"> (</w:t>
      </w:r>
      <w:r w:rsidR="00D15298">
        <w:t xml:space="preserve">en particulier </w:t>
      </w:r>
      <w:r>
        <w:t>« fair and equitable treatment », expropriation indirecte)</w:t>
      </w:r>
      <w:r w:rsidR="00BC0A76">
        <w:t> ;</w:t>
      </w:r>
    </w:p>
    <w:p w:rsidR="00357174" w:rsidRDefault="00357174" w:rsidP="00357174">
      <w:pPr>
        <w:pStyle w:val="CorpsdetexteNoteSEF"/>
        <w:spacing w:after="0"/>
        <w:ind w:left="720"/>
      </w:pPr>
      <w:r>
        <w:t>-</w:t>
      </w:r>
      <w:r w:rsidR="00D15298">
        <w:t>approche par liste négative</w:t>
      </w:r>
      <w:r>
        <w:t xml:space="preserve"> pour la libéralisation des services</w:t>
      </w:r>
      <w:r w:rsidR="00BC0A76">
        <w:t> ;</w:t>
      </w:r>
    </w:p>
    <w:p w:rsidR="00357174" w:rsidRDefault="00357174" w:rsidP="00357174">
      <w:pPr>
        <w:pStyle w:val="CorpsdetexteNoteSEF"/>
        <w:spacing w:after="0"/>
      </w:pPr>
    </w:p>
    <w:p w:rsidR="00FC38E1" w:rsidRDefault="00357174" w:rsidP="00357174">
      <w:pPr>
        <w:pStyle w:val="CorpsdetexteNoteSEF"/>
        <w:spacing w:after="0"/>
      </w:pPr>
      <w:r>
        <w:t>-concernant l’idée que le CETA « boosterait » l’économie, cette idée est infirmée par les études d’impact, y compris celles de la Commission. L’étude SIA de 2011 commandée par la Commission montre que le CETA produit une amélioration de PIB à long terme de 0,02 % à 0,03 % seulement</w:t>
      </w:r>
      <w:r w:rsidR="00F6761D">
        <w:rPr>
          <w:rStyle w:val="Appelnotedebasdep"/>
        </w:rPr>
        <w:footnoteReference w:id="1"/>
      </w:r>
      <w:r>
        <w:t>.</w:t>
      </w:r>
    </w:p>
    <w:p w:rsidR="00FC38E1" w:rsidRDefault="00FC38E1" w:rsidP="00FC38E1">
      <w:pPr>
        <w:pStyle w:val="Service"/>
        <w:rPr>
          <w:sz w:val="22"/>
        </w:rPr>
      </w:pPr>
      <w:r>
        <w:br w:type="page"/>
      </w:r>
    </w:p>
    <w:p w:rsidR="00357174" w:rsidRPr="00A54A0E" w:rsidRDefault="00357174" w:rsidP="00357174">
      <w:pPr>
        <w:pStyle w:val="CorpsdetexteNoteSEF"/>
        <w:spacing w:after="0"/>
      </w:pPr>
    </w:p>
    <w:p w:rsidR="00A54A0E" w:rsidRPr="00A54A0E" w:rsidRDefault="00A54A0E" w:rsidP="00357174">
      <w:pPr>
        <w:pStyle w:val="CorpsdetexteNoteSEF"/>
        <w:spacing w:after="0"/>
      </w:pPr>
    </w:p>
    <w:p w:rsidR="00E01536" w:rsidRDefault="00FC38E1"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t>2</w:t>
      </w:r>
      <w:r w:rsidR="00747A63">
        <w:rPr>
          <w:i/>
          <w:color w:val="0070C0"/>
          <w:lang w:val="en-US"/>
        </w:rPr>
        <w:t>.</w:t>
      </w:r>
      <w:r w:rsidR="00E01536" w:rsidRPr="00E01536">
        <w:rPr>
          <w:i/>
          <w:color w:val="0070C0"/>
          <w:lang w:val="en-US"/>
        </w:rPr>
        <w:t>« CETA preserves the abi</w:t>
      </w:r>
      <w:r w:rsidR="00D15298">
        <w:rPr>
          <w:i/>
          <w:color w:val="0070C0"/>
          <w:lang w:val="en-US"/>
        </w:rPr>
        <w:t xml:space="preserve">lity of the European Union and </w:t>
      </w:r>
      <w:r w:rsidR="00E01536">
        <w:rPr>
          <w:i/>
          <w:color w:val="0070C0"/>
          <w:lang w:val="en-US"/>
        </w:rPr>
        <w:t>i</w:t>
      </w:r>
      <w:r w:rsidR="00E01536" w:rsidRPr="00E01536">
        <w:rPr>
          <w:i/>
          <w:color w:val="0070C0"/>
          <w:lang w:val="en-US"/>
        </w:rPr>
        <w:t>ts Members states and Canada to adopt and apply their own laws and regulations …] to achieve legitimate public policy objective</w:t>
      </w:r>
      <w:r>
        <w:rPr>
          <w:i/>
          <w:color w:val="0070C0"/>
          <w:lang w:val="en-US"/>
        </w:rPr>
        <w:t>s</w:t>
      </w:r>
      <w:r w:rsidR="00E01536" w:rsidRPr="00E01536">
        <w:rPr>
          <w:i/>
          <w:color w:val="0070C0"/>
          <w:lang w:val="en-US"/>
        </w:rPr>
        <w:t xml:space="preserve"> […]”</w:t>
      </w:r>
      <w:r>
        <w:rPr>
          <w:i/>
          <w:color w:val="0070C0"/>
          <w:lang w:val="en-US"/>
        </w:rPr>
        <w:t>.</w:t>
      </w:r>
    </w:p>
    <w:p w:rsidR="00FC38E1" w:rsidRPr="002B1C87" w:rsidRDefault="00FC38E1" w:rsidP="00FC38E1">
      <w:pPr>
        <w:pStyle w:val="TitreNoteSEF"/>
        <w:pBdr>
          <w:top w:val="single" w:sz="4" w:space="1" w:color="auto"/>
          <w:left w:val="single" w:sz="4" w:space="4" w:color="auto"/>
          <w:bottom w:val="single" w:sz="4" w:space="1" w:color="auto"/>
          <w:right w:val="single" w:sz="4" w:space="4" w:color="auto"/>
        </w:pBdr>
        <w:spacing w:after="0"/>
        <w:rPr>
          <w:lang w:val="fr-BE"/>
        </w:rPr>
      </w:pPr>
      <w:r w:rsidRPr="002B1C87">
        <w:rPr>
          <w:lang w:val="fr-BE"/>
        </w:rPr>
        <w:t>[Right to regulate]</w:t>
      </w:r>
    </w:p>
    <w:p w:rsidR="00FC38E1" w:rsidRPr="002B1C87" w:rsidRDefault="00FC38E1" w:rsidP="00A54A0E">
      <w:pPr>
        <w:pStyle w:val="CorpsdetexteNoteSEF"/>
        <w:rPr>
          <w:color w:val="0070C0"/>
        </w:rPr>
      </w:pPr>
    </w:p>
    <w:p w:rsidR="00E01536" w:rsidRPr="00620871" w:rsidRDefault="00E01536" w:rsidP="00A54A0E">
      <w:pPr>
        <w:pStyle w:val="CorpsdetexteNoteSEF"/>
        <w:rPr>
          <w:b/>
        </w:rPr>
      </w:pPr>
      <w:r w:rsidRPr="00620871">
        <w:rPr>
          <w:b/>
        </w:rPr>
        <w:t>Réponse</w:t>
      </w:r>
    </w:p>
    <w:p w:rsidR="00E01536" w:rsidRDefault="00E01536" w:rsidP="00A54A0E">
      <w:pPr>
        <w:pStyle w:val="CorpsdetexteNoteSEF"/>
      </w:pPr>
      <w:r>
        <w:t xml:space="preserve">Rien de nouveau par rapport au CETA. Des déclarations similaires se retrouvent par exemple dans le préambule du CETA (p. 3) et à l’article 8.9.1 (p.47). Le débat sur le traité a déjà mis en évidence que ce type de déclarations est sans portée légale (voir plus loin pour des développements plus précis). </w:t>
      </w:r>
    </w:p>
    <w:p w:rsidR="00FC38E1" w:rsidRDefault="00FC38E1">
      <w:pPr>
        <w:jc w:val="left"/>
        <w:rPr>
          <w:sz w:val="22"/>
          <w:lang w:val="fr-BE"/>
        </w:rPr>
      </w:pPr>
      <w:r w:rsidRPr="002B1C87">
        <w:rPr>
          <w:lang w:val="fr-BE"/>
        </w:rPr>
        <w:br w:type="page"/>
      </w:r>
    </w:p>
    <w:p w:rsidR="00D15298" w:rsidRDefault="00FC38E1"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lastRenderedPageBreak/>
        <w:t>3.</w:t>
      </w:r>
      <w:r w:rsidRPr="00620871">
        <w:rPr>
          <w:i/>
          <w:color w:val="0070C0"/>
          <w:lang w:val="en-US"/>
        </w:rPr>
        <w:t xml:space="preserve"> </w:t>
      </w:r>
      <w:r w:rsidR="00D15298" w:rsidRPr="00620871">
        <w:rPr>
          <w:i/>
          <w:color w:val="0070C0"/>
          <w:lang w:val="en-US"/>
        </w:rPr>
        <w:t xml:space="preserve">“The European Union and its Members states and Canada affirm and </w:t>
      </w:r>
      <w:r w:rsidRPr="00620871">
        <w:rPr>
          <w:i/>
          <w:color w:val="0070C0"/>
          <w:lang w:val="en-US"/>
        </w:rPr>
        <w:t>recognize</w:t>
      </w:r>
      <w:r w:rsidR="00D15298" w:rsidRPr="00620871">
        <w:rPr>
          <w:i/>
          <w:color w:val="0070C0"/>
          <w:lang w:val="en-US"/>
        </w:rPr>
        <w:t xml:space="preserve"> the right of governments, at all levels, to provide and support the provision of public services […] CETA does not mean that contracting a public service to private providers makes it irreversibly part of the commercial sector”.</w:t>
      </w:r>
    </w:p>
    <w:p w:rsidR="00FC38E1" w:rsidRPr="002B1C87" w:rsidRDefault="00FC38E1" w:rsidP="00FC38E1">
      <w:pPr>
        <w:pStyle w:val="TitreNoteSEF"/>
        <w:pBdr>
          <w:top w:val="single" w:sz="4" w:space="1" w:color="auto"/>
          <w:left w:val="single" w:sz="4" w:space="4" w:color="auto"/>
          <w:bottom w:val="single" w:sz="4" w:space="1" w:color="auto"/>
          <w:right w:val="single" w:sz="4" w:space="4" w:color="auto"/>
        </w:pBdr>
        <w:spacing w:after="0"/>
        <w:rPr>
          <w:lang w:val="fr-BE"/>
        </w:rPr>
      </w:pPr>
      <w:r w:rsidRPr="002B1C87">
        <w:rPr>
          <w:lang w:val="fr-BE"/>
        </w:rPr>
        <w:t>[Public services]</w:t>
      </w:r>
    </w:p>
    <w:p w:rsidR="00FC38E1" w:rsidRPr="002B1C87" w:rsidRDefault="00FC38E1" w:rsidP="00A54A0E">
      <w:pPr>
        <w:pStyle w:val="CorpsdetexteNoteSEF"/>
        <w:rPr>
          <w:i/>
          <w:color w:val="0070C0"/>
        </w:rPr>
      </w:pPr>
    </w:p>
    <w:p w:rsidR="00D15298" w:rsidRPr="00620871" w:rsidRDefault="00D15298" w:rsidP="00D15298">
      <w:pPr>
        <w:pStyle w:val="CorpsdetexteNoteSEF"/>
        <w:rPr>
          <w:b/>
        </w:rPr>
      </w:pPr>
      <w:r w:rsidRPr="00620871">
        <w:rPr>
          <w:b/>
        </w:rPr>
        <w:t>Réponse</w:t>
      </w:r>
    </w:p>
    <w:p w:rsidR="00620871" w:rsidRDefault="00D15298" w:rsidP="00D15298">
      <w:pPr>
        <w:pStyle w:val="CorpsdetexteNoteSEF"/>
      </w:pPr>
      <w:r>
        <w:t xml:space="preserve">Si le but des négociateurs avait </w:t>
      </w:r>
      <w:r w:rsidR="00620871">
        <w:t xml:space="preserve">vraiment </w:t>
      </w:r>
      <w:r>
        <w:t>été de protéger la capacité des gouvernements à préserver leurs services publics, ils auraient</w:t>
      </w:r>
      <w:r w:rsidR="00620871">
        <w:t> :</w:t>
      </w:r>
    </w:p>
    <w:p w:rsidR="00620871" w:rsidRDefault="00620871" w:rsidP="00620871">
      <w:pPr>
        <w:pStyle w:val="CorpsdetexteNoteSEF"/>
        <w:spacing w:after="0"/>
        <w:ind w:left="720"/>
      </w:pPr>
      <w:r>
        <w:t>-établi dans le traité des clauses fiables d’exclusion des services publics du champ du CETA (en ce compris des services privés non marchands)</w:t>
      </w:r>
      <w:r w:rsidR="00D15298">
        <w:t xml:space="preserve">. </w:t>
      </w:r>
      <w:r>
        <w:t xml:space="preserve">Des clauses de protection existent dans </w:t>
      </w:r>
      <w:r w:rsidR="001C6FC5">
        <w:t xml:space="preserve">le </w:t>
      </w:r>
      <w:r>
        <w:t>CETA</w:t>
      </w:r>
      <w:r w:rsidR="001C6FC5">
        <w:t>,</w:t>
      </w:r>
      <w:r>
        <w:t xml:space="preserve"> mais </w:t>
      </w:r>
      <w:r w:rsidR="001C6FC5">
        <w:t>comportent de nombreuses failles</w:t>
      </w:r>
      <w:r w:rsidR="001C6FC5">
        <w:rPr>
          <w:rStyle w:val="Appelnotedebasdep"/>
        </w:rPr>
        <w:footnoteReference w:id="2"/>
      </w:r>
      <w:r>
        <w:t>.</w:t>
      </w:r>
      <w:r w:rsidR="001C6FC5">
        <w:t xml:space="preserve"> </w:t>
      </w:r>
    </w:p>
    <w:p w:rsidR="001C6FC5" w:rsidRDefault="001C6FC5" w:rsidP="00620871">
      <w:pPr>
        <w:pStyle w:val="CorpsdetexteNoteSEF"/>
        <w:spacing w:after="0"/>
        <w:ind w:left="720"/>
      </w:pPr>
      <w:r>
        <w:t xml:space="preserve">-exclu la stratégie par liste négative qui pose en option par défaut celle de la libéralisation. </w:t>
      </w:r>
    </w:p>
    <w:p w:rsidR="00D15298" w:rsidRDefault="00620871" w:rsidP="00620871">
      <w:pPr>
        <w:pStyle w:val="CorpsdetexteNoteSEF"/>
        <w:spacing w:after="0"/>
        <w:ind w:left="720"/>
      </w:pPr>
      <w:r>
        <w:t>-exclu l’utilisation de mécanismes de t</w:t>
      </w:r>
      <w:r w:rsidR="00D15298">
        <w:t xml:space="preserve">ype </w:t>
      </w:r>
      <w:r>
        <w:t>« </w:t>
      </w:r>
      <w:r w:rsidR="00D15298">
        <w:t>standstill</w:t>
      </w:r>
      <w:r>
        <w:t> »</w:t>
      </w:r>
      <w:r w:rsidR="00D15298">
        <w:t xml:space="preserve"> et </w:t>
      </w:r>
      <w:r>
        <w:t>« </w:t>
      </w:r>
      <w:r w:rsidR="00D15298">
        <w:t>ratchet</w:t>
      </w:r>
      <w:r>
        <w:t> »</w:t>
      </w:r>
      <w:r w:rsidR="00D15298">
        <w:t xml:space="preserve">.  </w:t>
      </w:r>
    </w:p>
    <w:p w:rsidR="00FC38E1" w:rsidRDefault="00FC38E1">
      <w:pPr>
        <w:jc w:val="left"/>
        <w:rPr>
          <w:sz w:val="22"/>
          <w:lang w:val="fr-BE"/>
        </w:rPr>
      </w:pPr>
      <w:r w:rsidRPr="002B1C87">
        <w:rPr>
          <w:lang w:val="fr-BE"/>
        </w:rPr>
        <w:br w:type="page"/>
      </w:r>
    </w:p>
    <w:p w:rsidR="00D15298" w:rsidRDefault="00D15298" w:rsidP="00D15298">
      <w:pPr>
        <w:pStyle w:val="CorpsdetexteNoteSEF"/>
      </w:pPr>
    </w:p>
    <w:p w:rsidR="00620871" w:rsidRDefault="00FC38E1"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t>4.</w:t>
      </w:r>
      <w:r w:rsidR="00620871" w:rsidRPr="0060132C">
        <w:rPr>
          <w:i/>
          <w:color w:val="0070C0"/>
          <w:lang w:val="en-US"/>
        </w:rPr>
        <w:t>« CETA includes clearly defined investment protection standards, including on fair and equitable treatment and expropriation and provides clear guidance to dispute resolution Tribunals on how these standards should be applied ».</w:t>
      </w:r>
    </w:p>
    <w:p w:rsidR="00FC38E1" w:rsidRPr="002B1C87" w:rsidRDefault="00FC38E1" w:rsidP="00FC38E1">
      <w:pPr>
        <w:pStyle w:val="TitreNoteSEF"/>
        <w:pBdr>
          <w:top w:val="single" w:sz="4" w:space="1" w:color="auto"/>
          <w:left w:val="single" w:sz="4" w:space="4" w:color="auto"/>
          <w:bottom w:val="single" w:sz="4" w:space="1" w:color="auto"/>
          <w:right w:val="single" w:sz="4" w:space="4" w:color="auto"/>
        </w:pBdr>
        <w:spacing w:after="0"/>
        <w:rPr>
          <w:lang w:val="fr-BE"/>
        </w:rPr>
      </w:pPr>
      <w:r w:rsidRPr="002B1C87">
        <w:rPr>
          <w:lang w:val="fr-BE"/>
        </w:rPr>
        <w:t>[Investment protection]</w:t>
      </w:r>
    </w:p>
    <w:p w:rsidR="00FC38E1" w:rsidRPr="002B1C87" w:rsidRDefault="00FC38E1" w:rsidP="00D15298">
      <w:pPr>
        <w:pStyle w:val="CorpsdetexteNoteSEF"/>
        <w:rPr>
          <w:i/>
          <w:color w:val="0070C0"/>
        </w:rPr>
      </w:pPr>
    </w:p>
    <w:p w:rsidR="00854482" w:rsidRDefault="006C53F3" w:rsidP="00854482">
      <w:pPr>
        <w:pStyle w:val="CorpsdetexteNoteSEF"/>
        <w:rPr>
          <w:b/>
        </w:rPr>
      </w:pPr>
      <w:r w:rsidRPr="0060132C">
        <w:rPr>
          <w:b/>
        </w:rPr>
        <w:t xml:space="preserve">Réponse </w:t>
      </w:r>
    </w:p>
    <w:p w:rsidR="001D6A53" w:rsidRDefault="00854482" w:rsidP="00854482">
      <w:pPr>
        <w:pStyle w:val="CorpsdetexteNoteSEF"/>
      </w:pPr>
      <w:r>
        <w:t>-</w:t>
      </w:r>
      <w:r w:rsidRPr="00854482">
        <w:t>La première phrase ci-dessus</w:t>
      </w:r>
      <w:r>
        <w:rPr>
          <w:b/>
        </w:rPr>
        <w:t xml:space="preserve"> </w:t>
      </w:r>
      <w:r>
        <w:t>est fausse :</w:t>
      </w:r>
      <w:r w:rsidR="001D6A53">
        <w:t xml:space="preserve"> loin d’être « clairement défini »,</w:t>
      </w:r>
      <w:r>
        <w:t xml:space="preserve"> </w:t>
      </w:r>
      <w:r w:rsidRPr="00BC0A76">
        <w:rPr>
          <w:highlight w:val="yellow"/>
        </w:rPr>
        <w:t xml:space="preserve">les standards de protection des investissements dans le CETA sont </w:t>
      </w:r>
      <w:r w:rsidR="001D6A53" w:rsidRPr="00BC0A76">
        <w:rPr>
          <w:highlight w:val="yellow"/>
        </w:rPr>
        <w:t xml:space="preserve">notoirement </w:t>
      </w:r>
      <w:r w:rsidRPr="00BC0A76">
        <w:rPr>
          <w:highlight w:val="yellow"/>
        </w:rPr>
        <w:t>ambigus</w:t>
      </w:r>
      <w:r w:rsidR="00BC0A76">
        <w:t xml:space="preserve"> et susceptibles de produire des plaint</w:t>
      </w:r>
      <w:r w:rsidR="00140F7A">
        <w:t>e</w:t>
      </w:r>
      <w:r w:rsidR="00BC0A76">
        <w:t>s devant les tribunaux d’arbitrage</w:t>
      </w:r>
      <w:r>
        <w:t>.</w:t>
      </w:r>
      <w:r w:rsidR="001D6A53">
        <w:t xml:space="preserve"> Cette ambiguïté profite aux investisseurs, car il revient aux arbitres de l’ICS, souvent pro-investisseurs, d’en déterminer le contenu exact.</w:t>
      </w:r>
      <w:r>
        <w:t xml:space="preserve"> </w:t>
      </w:r>
    </w:p>
    <w:p w:rsidR="00854482" w:rsidRDefault="001D6A53" w:rsidP="00854482">
      <w:pPr>
        <w:pStyle w:val="CorpsdetexteNoteSEF"/>
      </w:pPr>
      <w:r>
        <w:t>-En voici un exemple concret. L</w:t>
      </w:r>
      <w:r w:rsidR="00854482">
        <w:t xml:space="preserve">e standard de « fair and equitable treatment » est explicité à l’article 8.10.2 </w:t>
      </w:r>
      <w:r w:rsidR="00EC38D0">
        <w:t xml:space="preserve">en listant une série de pratiques </w:t>
      </w:r>
      <w:r w:rsidR="00E72D1A">
        <w:t>concrètes</w:t>
      </w:r>
      <w:r w:rsidR="00EC38D0">
        <w:t xml:space="preserve"> pouvant constituer une violation</w:t>
      </w:r>
      <w:r w:rsidR="00854482">
        <w:t xml:space="preserve"> de la norme. La Commission européenne prétend que </w:t>
      </w:r>
      <w:r>
        <w:t>cette</w:t>
      </w:r>
      <w:r w:rsidR="00854482">
        <w:t xml:space="preserve"> liste est fermée</w:t>
      </w:r>
      <w:r>
        <w:t xml:space="preserve"> et permet d’identifier à l’avance toutes les violations possibles de la norme</w:t>
      </w:r>
      <w:r w:rsidR="00E72D1A">
        <w:rPr>
          <w:rStyle w:val="Appelnotedebasdep"/>
        </w:rPr>
        <w:footnoteReference w:id="3"/>
      </w:r>
      <w:r w:rsidR="00E72D1A">
        <w:t xml:space="preserve"> ; </w:t>
      </w:r>
      <w:r w:rsidR="00EC38D0">
        <w:t>le</w:t>
      </w:r>
      <w:r w:rsidR="00854482">
        <w:t xml:space="preserve"> professeur </w:t>
      </w:r>
      <w:r w:rsidR="00EC38D0">
        <w:t xml:space="preserve">Gus </w:t>
      </w:r>
      <w:r w:rsidR="00854482">
        <w:t>Van Harten</w:t>
      </w:r>
      <w:r w:rsidR="00EC38D0">
        <w:t xml:space="preserve">, professeur de droit à la York University de Toronto et un des meilleurs experts mondiaux du droit de l’arbitrage, sur </w:t>
      </w:r>
      <w:r w:rsidR="00E72D1A">
        <w:t xml:space="preserve">la </w:t>
      </w:r>
      <w:r w:rsidR="00EC38D0">
        <w:t xml:space="preserve">base de </w:t>
      </w:r>
      <w:r>
        <w:t xml:space="preserve">la lecture du CETA </w:t>
      </w:r>
      <w:r w:rsidR="00BC0A76">
        <w:t>e</w:t>
      </w:r>
      <w:r>
        <w:t xml:space="preserve">t de ses recherches </w:t>
      </w:r>
      <w:r w:rsidR="00EC38D0">
        <w:t xml:space="preserve">sur le </w:t>
      </w:r>
      <w:r w:rsidR="00E72D1A">
        <w:t xml:space="preserve">fonctionnement </w:t>
      </w:r>
      <w:r>
        <w:t>des t</w:t>
      </w:r>
      <w:r w:rsidR="00E72D1A">
        <w:t xml:space="preserve">ribunaux d’arbitrage, </w:t>
      </w:r>
      <w:r>
        <w:t>conteste cette interprétation :</w:t>
      </w:r>
    </w:p>
    <w:p w:rsidR="001D6A53" w:rsidRPr="001D6A53" w:rsidRDefault="001D6A53" w:rsidP="001D6A53">
      <w:pPr>
        <w:pStyle w:val="CorpsdetexteNoteSEF"/>
        <w:ind w:left="720"/>
        <w:rPr>
          <w:lang w:val="en-US"/>
        </w:rPr>
      </w:pPr>
      <w:r w:rsidRPr="001D6A53">
        <w:rPr>
          <w:lang w:val="en-US"/>
        </w:rPr>
        <w:t>« </w:t>
      </w:r>
      <w:r w:rsidRPr="001D6A53">
        <w:rPr>
          <w:i/>
          <w:sz w:val="20"/>
          <w:szCs w:val="20"/>
          <w:highlight w:val="yellow"/>
          <w:lang w:val="en-US"/>
        </w:rPr>
        <w:t>If it was the intention of DG Trade and Canada negotiators to agree to a closed list, they could and should have done so by specifying it clearly in the text of Article 8.10</w:t>
      </w:r>
      <w:r w:rsidRPr="001D6A53">
        <w:rPr>
          <w:i/>
          <w:sz w:val="20"/>
          <w:szCs w:val="20"/>
          <w:lang w:val="en-US"/>
        </w:rPr>
        <w:t xml:space="preserve">, such as by inserting the word “only” before “if the measure” in Article 8.10(2). </w:t>
      </w:r>
      <w:r w:rsidRPr="002B1C87">
        <w:rPr>
          <w:i/>
          <w:sz w:val="20"/>
          <w:szCs w:val="20"/>
          <w:lang w:val="en-US"/>
        </w:rPr>
        <w:t xml:space="preserve">The EU and Canada have had several opportunities to make this fix after being informed of the precise issue of ambiguity on open/ closed list in the text. </w:t>
      </w:r>
      <w:r w:rsidRPr="001D6A53">
        <w:rPr>
          <w:i/>
          <w:sz w:val="20"/>
          <w:szCs w:val="20"/>
          <w:lang w:val="en-US"/>
        </w:rPr>
        <w:t xml:space="preserve">Yet they have left the point ambiguous and open to a credible line of interpretation by ISDS/ ICS adjudicators that the list is not fully closed. </w:t>
      </w:r>
      <w:r w:rsidRPr="001D6A53">
        <w:rPr>
          <w:i/>
          <w:sz w:val="20"/>
          <w:szCs w:val="20"/>
          <w:highlight w:val="yellow"/>
          <w:lang w:val="en-US"/>
        </w:rPr>
        <w:t>This concern is heightened by the fact that, in past NAFTA cases, investment treaty arbitrators have disregarded the shared views of the three NAFTA governments when interpreting ambiguous language in the NAFTA investment chapter in ways that favoured the foreign investor’s proposed interpretation</w:t>
      </w:r>
      <w:r w:rsidRPr="001D6A53">
        <w:rPr>
          <w:i/>
          <w:sz w:val="20"/>
          <w:szCs w:val="20"/>
          <w:lang w:val="en-US"/>
        </w:rPr>
        <w:t xml:space="preserve"> (see e.g. the Pope &amp; Talbot tribunal’s interpretation of national treatment). In the case of CETA Article 8.10, the foreign investors’ preferred interpretation is very likely to be that the list is not fully closed such that prevalent and expansive concepts in ISDS like the foreign investor’s “right to a stable regulatory framework” can be read into Article 8.10. The most important problem with these prevalent and expansive concepts is that they allow tribunals to award massive compensation for generally-applicable regulatory measures introduced for a public purpose in virtually any area of state activity, where a measure has reduced the value of foreign-owned assets including reasonably anticipated future earnings</w:t>
      </w:r>
      <w:r>
        <w:rPr>
          <w:i/>
          <w:sz w:val="20"/>
          <w:szCs w:val="20"/>
          <w:lang w:val="en-US"/>
        </w:rPr>
        <w:t>”</w:t>
      </w:r>
      <w:r w:rsidRPr="00854482">
        <w:rPr>
          <w:rStyle w:val="Appelnotedebasdep"/>
          <w:i/>
          <w:sz w:val="20"/>
          <w:szCs w:val="20"/>
          <w:lang w:val="en-US"/>
        </w:rPr>
        <w:footnoteReference w:id="4"/>
      </w:r>
      <w:r>
        <w:rPr>
          <w:i/>
          <w:sz w:val="20"/>
          <w:szCs w:val="20"/>
          <w:lang w:val="en-US"/>
        </w:rPr>
        <w:t>.</w:t>
      </w:r>
    </w:p>
    <w:p w:rsidR="0060132C" w:rsidRPr="00854482" w:rsidRDefault="006C53F3" w:rsidP="0060132C">
      <w:pPr>
        <w:pStyle w:val="CorpsdetexteNoteSEF"/>
      </w:pPr>
      <w:r>
        <w:t>-</w:t>
      </w:r>
      <w:r w:rsidR="00EC38D0">
        <w:t>l</w:t>
      </w:r>
      <w:r>
        <w:t>e professeur Van Harten</w:t>
      </w:r>
      <w:r w:rsidR="00EC38D0">
        <w:t xml:space="preserve"> estime que des déclarations générales </w:t>
      </w:r>
      <w:r w:rsidR="001D6A53">
        <w:t>telles que celle</w:t>
      </w:r>
      <w:r w:rsidR="00BC0A76">
        <w:t xml:space="preserve"> proposée aujourd’hui par les négociateurs</w:t>
      </w:r>
      <w:r w:rsidR="001D6A53">
        <w:t xml:space="preserve"> </w:t>
      </w:r>
      <w:r w:rsidR="00EC38D0">
        <w:t>ne sont pas en mesure de remédier aux ambiguïtés du texte, parce qu</w:t>
      </w:r>
      <w:r w:rsidR="001D6A53">
        <w:t xml:space="preserve">’elles ne peuvent empêcher les </w:t>
      </w:r>
      <w:r w:rsidR="00EC38D0">
        <w:t xml:space="preserve">juges-arbitres </w:t>
      </w:r>
      <w:r w:rsidR="001D6A53">
        <w:t>d’interpréter</w:t>
      </w:r>
      <w:r w:rsidR="00EC38D0">
        <w:t xml:space="preserve"> </w:t>
      </w:r>
      <w:r w:rsidR="001D6A53">
        <w:t xml:space="preserve">ces </w:t>
      </w:r>
      <w:r w:rsidR="00EC38D0">
        <w:t xml:space="preserve">ambiguïtés à leur guise. L’espoir des négociateurs d’encadrer les juges par de telles déclarations n’est donc que du </w:t>
      </w:r>
      <w:r w:rsidRPr="00854482">
        <w:t>« </w:t>
      </w:r>
      <w:r w:rsidR="0039309E" w:rsidRPr="00854482">
        <w:t>wishful</w:t>
      </w:r>
      <w:r w:rsidRPr="00854482">
        <w:t xml:space="preserve"> thinking » : </w:t>
      </w:r>
    </w:p>
    <w:p w:rsidR="0060132C" w:rsidRPr="00854482" w:rsidRDefault="0060132C" w:rsidP="0060132C">
      <w:pPr>
        <w:autoSpaceDE w:val="0"/>
        <w:autoSpaceDN w:val="0"/>
        <w:adjustRightInd w:val="0"/>
        <w:rPr>
          <w:lang w:val="fr-BE"/>
        </w:rPr>
      </w:pPr>
    </w:p>
    <w:p w:rsidR="0060132C" w:rsidRDefault="0060132C" w:rsidP="0060132C">
      <w:pPr>
        <w:pStyle w:val="CorpsdetexteNoteSEF"/>
        <w:ind w:left="720"/>
        <w:rPr>
          <w:i/>
          <w:sz w:val="20"/>
          <w:szCs w:val="20"/>
          <w:lang w:val="en-US"/>
        </w:rPr>
      </w:pPr>
      <w:r w:rsidRPr="00854482">
        <w:rPr>
          <w:i/>
          <w:sz w:val="20"/>
          <w:szCs w:val="20"/>
          <w:lang w:val="en-US"/>
        </w:rPr>
        <w:t xml:space="preserve">“DG Trade is engaged again in </w:t>
      </w:r>
      <w:r w:rsidRPr="00EC38D0">
        <w:rPr>
          <w:i/>
          <w:sz w:val="20"/>
          <w:szCs w:val="20"/>
          <w:highlight w:val="yellow"/>
          <w:lang w:val="en-US"/>
        </w:rPr>
        <w:t>wishful thinking</w:t>
      </w:r>
      <w:r w:rsidRPr="00854482">
        <w:rPr>
          <w:i/>
          <w:sz w:val="20"/>
          <w:szCs w:val="20"/>
          <w:lang w:val="en-US"/>
        </w:rPr>
        <w:t xml:space="preserve"> about how ISDS/ ICS tribunals will react to ambiguities in the text, here in Article 8.9(1).</w:t>
      </w:r>
      <w:r w:rsidR="00EC38D0">
        <w:rPr>
          <w:i/>
          <w:sz w:val="20"/>
          <w:szCs w:val="20"/>
          <w:lang w:val="en-US"/>
        </w:rPr>
        <w:t>”</w:t>
      </w:r>
    </w:p>
    <w:p w:rsidR="00FC38E1" w:rsidRDefault="00854482" w:rsidP="00854482">
      <w:pPr>
        <w:pStyle w:val="CorpsdetexteNoteSEF"/>
        <w:ind w:left="720"/>
        <w:rPr>
          <w:i/>
          <w:sz w:val="20"/>
          <w:szCs w:val="20"/>
          <w:lang w:val="en-US"/>
        </w:rPr>
      </w:pPr>
      <w:r w:rsidRPr="00EC38D0">
        <w:rPr>
          <w:i/>
          <w:sz w:val="20"/>
          <w:szCs w:val="20"/>
          <w:lang w:val="en-US"/>
        </w:rPr>
        <w:t xml:space="preserve">“DG Trade, like in most of its answers, is offering a </w:t>
      </w:r>
      <w:r w:rsidRPr="00E72D1A">
        <w:rPr>
          <w:i/>
          <w:sz w:val="20"/>
          <w:szCs w:val="20"/>
          <w:highlight w:val="yellow"/>
          <w:lang w:val="en-US"/>
        </w:rPr>
        <w:t>reassuring interpretation of ambiguity</w:t>
      </w:r>
      <w:r w:rsidRPr="00EC38D0">
        <w:rPr>
          <w:i/>
          <w:sz w:val="20"/>
          <w:szCs w:val="20"/>
          <w:lang w:val="en-US"/>
        </w:rPr>
        <w:t xml:space="preserve"> that has been left in the text, we must assume deliberately as a tribunal typically would, as a basis for the tribunal to favour the foreign investor’s preferred interpretation. Even if DG Trade were subsequently to assert a more restrictive interpretation in a specific ISDS/ ICS case, and the Canadian government supported DG Trade’s position, tribunals have in the past chosen to adopt the foreign investor’s preferred approach in past cases. »</w:t>
      </w:r>
    </w:p>
    <w:p w:rsidR="00FC38E1" w:rsidRPr="002B1C87" w:rsidRDefault="00FC38E1" w:rsidP="00FC38E1">
      <w:pPr>
        <w:pStyle w:val="Service"/>
        <w:rPr>
          <w:lang w:val="en-US"/>
        </w:rPr>
      </w:pPr>
      <w:r w:rsidRPr="002B1C87">
        <w:rPr>
          <w:lang w:val="en-US"/>
        </w:rPr>
        <w:br w:type="page"/>
      </w:r>
    </w:p>
    <w:p w:rsidR="00854482" w:rsidRDefault="00854482" w:rsidP="00854482">
      <w:pPr>
        <w:pStyle w:val="CorpsdetexteNoteSEF"/>
        <w:ind w:left="720"/>
        <w:rPr>
          <w:sz w:val="20"/>
          <w:szCs w:val="20"/>
          <w:lang w:val="en-US"/>
        </w:rPr>
      </w:pPr>
    </w:p>
    <w:p w:rsidR="00794C6D" w:rsidRDefault="00FC38E1"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t>5.</w:t>
      </w:r>
      <w:r w:rsidR="00794C6D" w:rsidRPr="00794C6D">
        <w:rPr>
          <w:i/>
          <w:color w:val="0070C0"/>
          <w:lang w:val="en-US"/>
        </w:rPr>
        <w:t>“CETA moves decisively away from the traditional approach of investment dispute resolution and establishes an independent, impartial and permanent investment tribunal”</w:t>
      </w:r>
    </w:p>
    <w:p w:rsidR="00FC38E1" w:rsidRPr="002B1C87" w:rsidRDefault="00FC38E1" w:rsidP="00FC38E1">
      <w:pPr>
        <w:pStyle w:val="CorpsdetexteNoteSEF"/>
        <w:pBdr>
          <w:top w:val="single" w:sz="4" w:space="1" w:color="auto"/>
          <w:left w:val="single" w:sz="4" w:space="4" w:color="auto"/>
          <w:bottom w:val="single" w:sz="4" w:space="1" w:color="auto"/>
          <w:right w:val="single" w:sz="4" w:space="4" w:color="auto"/>
        </w:pBdr>
        <w:spacing w:after="0"/>
        <w:rPr>
          <w:color w:val="0070C0"/>
        </w:rPr>
      </w:pPr>
      <w:r w:rsidRPr="002B1C87">
        <w:rPr>
          <w:color w:val="0070C0"/>
        </w:rPr>
        <w:t>[Investment protection]</w:t>
      </w:r>
    </w:p>
    <w:p w:rsidR="00FC38E1" w:rsidRDefault="00FC38E1" w:rsidP="00794C6D">
      <w:pPr>
        <w:pStyle w:val="CorpsdetexteNoteSEF"/>
      </w:pPr>
    </w:p>
    <w:p w:rsidR="00794C6D" w:rsidRDefault="00794C6D" w:rsidP="00794C6D">
      <w:pPr>
        <w:pStyle w:val="CorpsdetexteNoteSEF"/>
      </w:pPr>
      <w:r>
        <w:t>-</w:t>
      </w:r>
      <w:r w:rsidR="00BC0A76">
        <w:t xml:space="preserve">rappelons que </w:t>
      </w:r>
      <w:r>
        <w:t xml:space="preserve">la transformation de l’ISDS en ICS </w:t>
      </w:r>
      <w:r w:rsidR="00E72D1A">
        <w:t xml:space="preserve">n’a pas fait tomber les objections </w:t>
      </w:r>
      <w:r w:rsidR="00BC0A76">
        <w:t xml:space="preserve">émises par de nombreux acteurs </w:t>
      </w:r>
      <w:r w:rsidR="00E72D1A">
        <w:t xml:space="preserve">à l’encontre des tribunaux d’arbitrage. </w:t>
      </w:r>
      <w:r w:rsidR="00BC0A76">
        <w:t>Pour ne citer que cet exemple, l</w:t>
      </w:r>
      <w:r w:rsidRPr="001D6A53">
        <w:rPr>
          <w:highlight w:val="yellow"/>
        </w:rPr>
        <w:t>’Association européenne des magistrats</w:t>
      </w:r>
      <w:r w:rsidR="00E72D1A" w:rsidRPr="001D6A53">
        <w:rPr>
          <w:highlight w:val="yellow"/>
        </w:rPr>
        <w:t xml:space="preserve"> </w:t>
      </w:r>
      <w:r w:rsidR="00BC0A76">
        <w:rPr>
          <w:highlight w:val="yellow"/>
        </w:rPr>
        <w:t xml:space="preserve">rejette </w:t>
      </w:r>
      <w:r w:rsidR="001D6A53" w:rsidRPr="001D6A53">
        <w:rPr>
          <w:highlight w:val="yellow"/>
        </w:rPr>
        <w:t xml:space="preserve">l’ICS </w:t>
      </w:r>
      <w:r w:rsidR="00BC0A76">
        <w:rPr>
          <w:highlight w:val="yellow"/>
        </w:rPr>
        <w:t xml:space="preserve">car elle estime qu’il </w:t>
      </w:r>
      <w:r w:rsidR="001D6A53" w:rsidRPr="001D6A53">
        <w:rPr>
          <w:highlight w:val="yellow"/>
        </w:rPr>
        <w:t>ne respecte</w:t>
      </w:r>
      <w:r w:rsidRPr="001D6A53">
        <w:rPr>
          <w:highlight w:val="yellow"/>
        </w:rPr>
        <w:t xml:space="preserve"> pas les s</w:t>
      </w:r>
      <w:r w:rsidR="00E72D1A" w:rsidRPr="001D6A53">
        <w:rPr>
          <w:highlight w:val="yellow"/>
        </w:rPr>
        <w:t>tandards démocratiques</w:t>
      </w:r>
      <w:r w:rsidRPr="001D6A53">
        <w:rPr>
          <w:highlight w:val="yellow"/>
        </w:rPr>
        <w:t xml:space="preserve"> propres aux juridictions ordinaires</w:t>
      </w:r>
      <w:r>
        <w:t>.</w:t>
      </w:r>
    </w:p>
    <w:p w:rsidR="00794C6D" w:rsidRDefault="00794C6D" w:rsidP="00794C6D">
      <w:pPr>
        <w:pStyle w:val="CorpsdetexteNoteSEF"/>
      </w:pPr>
      <w:r>
        <w:t xml:space="preserve">-rappelons que les experts ayant réalisé </w:t>
      </w:r>
      <w:r w:rsidRPr="001D6A53">
        <w:rPr>
          <w:highlight w:val="yellow"/>
        </w:rPr>
        <w:t>l’étude officielle commandée par la Commission européenne</w:t>
      </w:r>
      <w:r w:rsidR="00E72D1A">
        <w:rPr>
          <w:rStyle w:val="Appelnotedebasdep"/>
        </w:rPr>
        <w:footnoteReference w:id="5"/>
      </w:r>
      <w:r>
        <w:t xml:space="preserve"> </w:t>
      </w:r>
      <w:r w:rsidR="001D6A53">
        <w:t xml:space="preserve">sur le CETA </w:t>
      </w:r>
      <w:r>
        <w:t>adressaient notamment les recommandations suivantes (T30 et T34)</w:t>
      </w:r>
      <w:r w:rsidR="004D6613">
        <w:t xml:space="preserve">, lesquelles n’ont ni l’une ni l’autre été mises en œuvre par les négociateurs </w:t>
      </w:r>
      <w:r>
        <w:t>:</w:t>
      </w:r>
    </w:p>
    <w:p w:rsidR="00794C6D" w:rsidRPr="001D6A53" w:rsidRDefault="00794C6D" w:rsidP="00794C6D">
      <w:pPr>
        <w:pStyle w:val="CorpsdetexteNoteSEF"/>
        <w:spacing w:after="0"/>
        <w:ind w:left="720"/>
        <w:rPr>
          <w:lang w:val="en-US"/>
        </w:rPr>
      </w:pPr>
      <w:r w:rsidRPr="001D6A53">
        <w:rPr>
          <w:i/>
          <w:lang w:val="en-US"/>
        </w:rPr>
        <w:t>« -</w:t>
      </w:r>
      <w:r w:rsidRPr="00BC0A76">
        <w:rPr>
          <w:i/>
          <w:highlight w:val="yellow"/>
          <w:lang w:val="en-US"/>
        </w:rPr>
        <w:t>consider excluding ISDS from CETA</w:t>
      </w:r>
      <w:r w:rsidRPr="001D6A53">
        <w:rPr>
          <w:i/>
          <w:lang w:val="en-US"/>
        </w:rPr>
        <w:t>, whereas well-crafted state-state dispute settlement could be used instead […].”</w:t>
      </w:r>
      <w:r w:rsidR="001D6A53">
        <w:rPr>
          <w:lang w:val="en-US"/>
        </w:rPr>
        <w:t xml:space="preserve"> (p. 437)</w:t>
      </w:r>
    </w:p>
    <w:p w:rsidR="00794C6D" w:rsidRPr="002B1C87" w:rsidRDefault="00794C6D" w:rsidP="00794C6D">
      <w:pPr>
        <w:pStyle w:val="CorpsdetexteNoteSEF"/>
        <w:spacing w:after="0"/>
        <w:ind w:left="720"/>
      </w:pPr>
      <w:r w:rsidRPr="001D6A53">
        <w:rPr>
          <w:i/>
          <w:lang w:val="en-US"/>
        </w:rPr>
        <w:t xml:space="preserve">“-if choose to include ISDS in CETA, </w:t>
      </w:r>
      <w:r w:rsidRPr="00BC0A76">
        <w:rPr>
          <w:i/>
          <w:highlight w:val="yellow"/>
          <w:lang w:val="en-US"/>
        </w:rPr>
        <w:t>require domestic arbitration avenues are ‘fully exhausted’</w:t>
      </w:r>
      <w:r w:rsidRPr="001D6A53">
        <w:rPr>
          <w:i/>
          <w:lang w:val="en-US"/>
        </w:rPr>
        <w:t xml:space="preserve"> before disputes move to international tribunals”.</w:t>
      </w:r>
      <w:r w:rsidR="001D6A53">
        <w:rPr>
          <w:lang w:val="en-US"/>
        </w:rPr>
        <w:t xml:space="preserve"> </w:t>
      </w:r>
      <w:r w:rsidR="001D6A53" w:rsidRPr="002B1C87">
        <w:t>(p. 438)</w:t>
      </w:r>
    </w:p>
    <w:p w:rsidR="004D6613" w:rsidRPr="002B1C87" w:rsidRDefault="004D6613" w:rsidP="004D6613">
      <w:pPr>
        <w:pStyle w:val="CorpsdetexteNoteSEF"/>
        <w:spacing w:after="0"/>
      </w:pPr>
    </w:p>
    <w:p w:rsidR="004D6613" w:rsidRDefault="004D6613" w:rsidP="004D6613">
      <w:pPr>
        <w:pStyle w:val="CorpsdetexteNoteSEF"/>
        <w:spacing w:after="0"/>
      </w:pPr>
      <w:r w:rsidRPr="00CF23F7">
        <w:t xml:space="preserve">-le professeur Van Harten estime de son côté que </w:t>
      </w:r>
      <w:r w:rsidR="00CF23F7" w:rsidRPr="00CF23F7">
        <w:t xml:space="preserve">l’ICS continue de poser une série de </w:t>
      </w:r>
      <w:r w:rsidR="00CF23F7">
        <w:t xml:space="preserve">problèmes : </w:t>
      </w:r>
    </w:p>
    <w:p w:rsidR="00CF23F7" w:rsidRPr="00CF23F7" w:rsidRDefault="00CF23F7" w:rsidP="004D6613">
      <w:pPr>
        <w:pStyle w:val="CorpsdetexteNoteSEF"/>
        <w:spacing w:after="0"/>
      </w:pPr>
    </w:p>
    <w:p w:rsidR="004D6613" w:rsidRDefault="004D6613" w:rsidP="004D6613">
      <w:pPr>
        <w:pStyle w:val="CorpsdetexteNoteSEF"/>
        <w:spacing w:after="0"/>
        <w:ind w:left="720"/>
      </w:pPr>
      <w:r>
        <w:t>-</w:t>
      </w:r>
      <w:r w:rsidR="00CF23F7">
        <w:t>il</w:t>
      </w:r>
      <w:r>
        <w:t xml:space="preserve"> ne requiert pas des investisseurs qu’ils épuisent les recours aux juridictions ordinaires avant de porter plainte devant l’ICS ;</w:t>
      </w:r>
    </w:p>
    <w:p w:rsidR="004D6613" w:rsidRDefault="004D6613" w:rsidP="004D6613">
      <w:pPr>
        <w:pStyle w:val="CorpsdetexteNoteSEF"/>
        <w:spacing w:after="0"/>
        <w:ind w:left="720"/>
      </w:pPr>
      <w:r>
        <w:t>-</w:t>
      </w:r>
      <w:r w:rsidR="00CF23F7">
        <w:t>il ne fournit pas des garanties en matière d’indépendance et d’origine sociale des juges de même niveau que celles valables pour les tribunaux ordinaires</w:t>
      </w:r>
      <w:r>
        <w:t> :</w:t>
      </w:r>
    </w:p>
    <w:p w:rsidR="004D6613" w:rsidRDefault="004D6613" w:rsidP="004D6613">
      <w:pPr>
        <w:pStyle w:val="CorpsdetexteNoteSEF"/>
        <w:spacing w:after="0"/>
        <w:ind w:left="720"/>
      </w:pPr>
    </w:p>
    <w:p w:rsidR="004D6613" w:rsidRDefault="004D6613" w:rsidP="004D6613">
      <w:pPr>
        <w:pStyle w:val="CorpsdetexteNoteSEF"/>
        <w:ind w:left="720"/>
        <w:rPr>
          <w:sz w:val="20"/>
          <w:szCs w:val="20"/>
          <w:lang w:val="en-US"/>
        </w:rPr>
      </w:pPr>
      <w:r w:rsidRPr="004D6613">
        <w:rPr>
          <w:i/>
          <w:sz w:val="20"/>
          <w:szCs w:val="20"/>
          <w:lang w:val="en-US"/>
        </w:rPr>
        <w:t xml:space="preserve">«  </w:t>
      </w:r>
      <w:r w:rsidRPr="001D6A53">
        <w:rPr>
          <w:i/>
          <w:sz w:val="20"/>
          <w:szCs w:val="20"/>
          <w:highlight w:val="yellow"/>
          <w:lang w:val="en-US"/>
        </w:rPr>
        <w:t>[T]he ICS model will restore some but not all of the institutional safeguards that we see in domestic and international courts</w:t>
      </w:r>
      <w:r w:rsidRPr="004D6613">
        <w:rPr>
          <w:i/>
          <w:sz w:val="20"/>
          <w:szCs w:val="20"/>
          <w:lang w:val="en-US"/>
        </w:rPr>
        <w:t xml:space="preserve">. </w:t>
      </w:r>
      <w:r w:rsidRPr="002B1C87">
        <w:rPr>
          <w:i/>
          <w:sz w:val="20"/>
          <w:szCs w:val="20"/>
          <w:lang w:val="en-US"/>
        </w:rPr>
        <w:t xml:space="preserve">For example, it will still permit ICS adjudicators to work on the side as ISDS arbitrators and it will still connect their compensation to the frequency and duration of claims. </w:t>
      </w:r>
      <w:r w:rsidRPr="00CF23F7">
        <w:rPr>
          <w:i/>
          <w:sz w:val="20"/>
          <w:szCs w:val="20"/>
          <w:lang w:val="en-US"/>
        </w:rPr>
        <w:t>For this reason, the independence of ICS adjudicators is open to significantly more doubt than the independence of a judge in an EU court, for example, and that is the essence of the problem.</w:t>
      </w:r>
      <w:r w:rsidR="00CF23F7" w:rsidRPr="00CF23F7">
        <w:rPr>
          <w:i/>
          <w:sz w:val="20"/>
          <w:szCs w:val="20"/>
          <w:lang w:val="en-US"/>
        </w:rPr>
        <w:t xml:space="preserve"> </w:t>
      </w:r>
      <w:r w:rsidRPr="004D6613">
        <w:rPr>
          <w:i/>
          <w:sz w:val="20"/>
          <w:szCs w:val="20"/>
          <w:lang w:val="en-US"/>
        </w:rPr>
        <w:t xml:space="preserve">As a related concern, </w:t>
      </w:r>
      <w:r w:rsidRPr="001D6A53">
        <w:rPr>
          <w:i/>
          <w:sz w:val="20"/>
          <w:szCs w:val="20"/>
          <w:highlight w:val="yellow"/>
          <w:lang w:val="en-US"/>
        </w:rPr>
        <w:t>I am worried that the same clique of individuals who have dominated ISDS and taken it in such an expansive, pro-foreign investor direction will be drawn upon to staff the ICS system under CETA</w:t>
      </w:r>
      <w:r w:rsidRPr="004D6613">
        <w:rPr>
          <w:i/>
          <w:sz w:val="20"/>
          <w:szCs w:val="20"/>
          <w:lang w:val="en-US"/>
        </w:rPr>
        <w:t>. I would prefer to see a more clearly politically-accountable and balanced process for the selection of members of the ICS. »</w:t>
      </w:r>
      <w:r w:rsidR="00CF23F7">
        <w:rPr>
          <w:rStyle w:val="Appelnotedebasdep"/>
          <w:i/>
          <w:sz w:val="20"/>
          <w:szCs w:val="20"/>
          <w:lang w:val="en-US"/>
        </w:rPr>
        <w:footnoteReference w:id="6"/>
      </w:r>
    </w:p>
    <w:p w:rsidR="00CF23F7" w:rsidRDefault="00CF23F7" w:rsidP="00CF23F7">
      <w:pPr>
        <w:pStyle w:val="CorpsdetexteNoteSEF"/>
        <w:ind w:firstLine="720"/>
      </w:pPr>
      <w:r w:rsidRPr="00CF23F7">
        <w:t>-il crée une discrimination positive en faveur des investisseurs étrangers :</w:t>
      </w:r>
    </w:p>
    <w:p w:rsidR="00FC38E1" w:rsidRDefault="00CF23F7" w:rsidP="00CF23F7">
      <w:pPr>
        <w:pStyle w:val="CorpsdetexteNoteSEF"/>
        <w:ind w:left="720"/>
        <w:rPr>
          <w:i/>
          <w:sz w:val="20"/>
          <w:szCs w:val="20"/>
          <w:lang w:val="en-US"/>
        </w:rPr>
      </w:pPr>
      <w:r w:rsidRPr="00CF23F7">
        <w:rPr>
          <w:i/>
          <w:sz w:val="20"/>
          <w:szCs w:val="20"/>
          <w:lang w:val="en-US"/>
        </w:rPr>
        <w:t>“</w:t>
      </w:r>
      <w:r w:rsidRPr="001D6A53">
        <w:rPr>
          <w:i/>
          <w:sz w:val="20"/>
          <w:szCs w:val="20"/>
          <w:highlight w:val="yellow"/>
          <w:lang w:val="en-US"/>
        </w:rPr>
        <w:t>ISDS/ ICS is premised on discrimination in favour of foreign investors and against all other actors in society</w:t>
      </w:r>
      <w:r w:rsidRPr="00CF23F7">
        <w:rPr>
          <w:i/>
          <w:sz w:val="20"/>
          <w:szCs w:val="20"/>
          <w:lang w:val="en-US"/>
        </w:rPr>
        <w:t>, who are denied even the right to participate in the process for resolving an ISDS/ ICS claim by a foreign investor in circumstances where their rights or interests are affected, let alone the right to bring a free-standing ISDS/ ICS-style claim against the state.”</w:t>
      </w:r>
      <w:r>
        <w:rPr>
          <w:rStyle w:val="Appelnotedebasdep"/>
          <w:i/>
          <w:sz w:val="20"/>
          <w:szCs w:val="20"/>
          <w:lang w:val="en-US"/>
        </w:rPr>
        <w:footnoteReference w:id="7"/>
      </w:r>
    </w:p>
    <w:p w:rsidR="00FC38E1" w:rsidRPr="002B1C87" w:rsidRDefault="00FC38E1" w:rsidP="00FC38E1">
      <w:pPr>
        <w:pStyle w:val="Service"/>
        <w:rPr>
          <w:lang w:val="en-US"/>
        </w:rPr>
      </w:pPr>
      <w:r w:rsidRPr="002B1C87">
        <w:rPr>
          <w:lang w:val="en-US"/>
        </w:rPr>
        <w:br w:type="page"/>
      </w:r>
    </w:p>
    <w:p w:rsidR="004D6613" w:rsidRPr="00CF23F7" w:rsidRDefault="004D6613" w:rsidP="00CF23F7">
      <w:pPr>
        <w:pStyle w:val="CorpsdetexteNoteSEF"/>
        <w:ind w:left="720"/>
        <w:rPr>
          <w:i/>
          <w:sz w:val="20"/>
          <w:szCs w:val="20"/>
          <w:lang w:val="en-US"/>
        </w:rPr>
      </w:pPr>
    </w:p>
    <w:p w:rsidR="00FD1F5F" w:rsidRDefault="00FC38E1"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t>6.</w:t>
      </w:r>
      <w:r w:rsidR="00FD1F5F" w:rsidRPr="00FD1F5F">
        <w:rPr>
          <w:i/>
          <w:color w:val="0070C0"/>
          <w:lang w:val="en-US"/>
        </w:rPr>
        <w:t>« CETA does not change the rights of workers to negotiate, conclude and enforce collective agreements and to take coll</w:t>
      </w:r>
      <w:r w:rsidR="00FD1F5F">
        <w:rPr>
          <w:i/>
          <w:color w:val="0070C0"/>
          <w:lang w:val="en-US"/>
        </w:rPr>
        <w:t>e</w:t>
      </w:r>
      <w:r w:rsidR="00FD1F5F" w:rsidRPr="00FD1F5F">
        <w:rPr>
          <w:i/>
          <w:color w:val="0070C0"/>
          <w:lang w:val="en-US"/>
        </w:rPr>
        <w:t>ctive action ».</w:t>
      </w:r>
    </w:p>
    <w:p w:rsidR="00FC38E1" w:rsidRPr="00FC38E1" w:rsidRDefault="00FC38E1" w:rsidP="00FC38E1">
      <w:pPr>
        <w:pStyle w:val="TitreNoteSEF"/>
        <w:pBdr>
          <w:top w:val="single" w:sz="4" w:space="1" w:color="auto"/>
          <w:left w:val="single" w:sz="4" w:space="4" w:color="auto"/>
          <w:bottom w:val="single" w:sz="4" w:space="1" w:color="auto"/>
          <w:right w:val="single" w:sz="4" w:space="4" w:color="auto"/>
        </w:pBdr>
        <w:spacing w:after="0"/>
        <w:rPr>
          <w:i/>
          <w:lang w:val="fr-BE"/>
        </w:rPr>
      </w:pPr>
      <w:r w:rsidRPr="00FC38E1">
        <w:rPr>
          <w:lang w:val="fr-BE"/>
        </w:rPr>
        <w:t>[Labour protection]</w:t>
      </w:r>
    </w:p>
    <w:p w:rsidR="00FC38E1" w:rsidRDefault="00FC38E1" w:rsidP="00854482">
      <w:pPr>
        <w:pStyle w:val="CorpsdetexteNoteSEF"/>
      </w:pPr>
    </w:p>
    <w:p w:rsidR="0016535C" w:rsidRPr="0016535C" w:rsidRDefault="00FD1F5F" w:rsidP="002B1C87">
      <w:pPr>
        <w:rPr>
          <w:lang w:val="en-US"/>
        </w:rPr>
      </w:pPr>
      <w:r w:rsidRPr="00ED2014">
        <w:rPr>
          <w:lang w:val="fr-BE"/>
        </w:rPr>
        <w:t xml:space="preserve">La déclaration n’apporte aucune assurance d’un respect de la négociation collective et du droit de grève. </w:t>
      </w:r>
      <w:r w:rsidRPr="002B1C87">
        <w:rPr>
          <w:highlight w:val="yellow"/>
          <w:lang w:val="fr-BE"/>
        </w:rPr>
        <w:t>S</w:t>
      </w:r>
      <w:r w:rsidR="009A43A1" w:rsidRPr="002B1C87">
        <w:rPr>
          <w:highlight w:val="yellow"/>
          <w:lang w:val="fr-BE"/>
        </w:rPr>
        <w:t xml:space="preserve">’il est exact que </w:t>
      </w:r>
      <w:r w:rsidRPr="00ED2014">
        <w:rPr>
          <w:highlight w:val="yellow"/>
          <w:lang w:val="fr-BE"/>
        </w:rPr>
        <w:t xml:space="preserve">les investisseurs n’ont pas le pouvoir direct </w:t>
      </w:r>
      <w:r w:rsidR="009A43A1" w:rsidRPr="00ED2014">
        <w:rPr>
          <w:highlight w:val="yellow"/>
          <w:lang w:val="fr-BE"/>
        </w:rPr>
        <w:t>de bloquer</w:t>
      </w:r>
      <w:r w:rsidRPr="00ED2014">
        <w:rPr>
          <w:highlight w:val="yellow"/>
          <w:lang w:val="fr-BE"/>
        </w:rPr>
        <w:t xml:space="preserve"> les conventions collectives, ils disposent en revanche d’un pouvoir indirect</w:t>
      </w:r>
      <w:r w:rsidR="009A43A1" w:rsidRPr="00ED2014">
        <w:rPr>
          <w:highlight w:val="yellow"/>
          <w:lang w:val="fr-BE"/>
        </w:rPr>
        <w:t xml:space="preserve"> de le faire</w:t>
      </w:r>
      <w:r w:rsidRPr="00ED2014">
        <w:rPr>
          <w:lang w:val="fr-BE"/>
        </w:rPr>
        <w:t xml:space="preserve">. Le CETA n’interdit aucunement aux investisseurs de déposer plainte devant l’ICS contre des conventions collectives si celles-ci leur déplaisent et d’obtenir des compensations financières si ils obtiennent gain de cause. </w:t>
      </w:r>
      <w:r w:rsidR="009A43A1" w:rsidRPr="00ED2014">
        <w:rPr>
          <w:lang w:val="fr-BE"/>
        </w:rPr>
        <w:t xml:space="preserve">Il existe effectivement des précédents de plaintes d’investisseurs contre des actions de grève. </w:t>
      </w:r>
      <w:r w:rsidRPr="00ED2014">
        <w:rPr>
          <w:lang w:val="fr-BE"/>
        </w:rPr>
        <w:t xml:space="preserve">Si le but </w:t>
      </w:r>
      <w:r w:rsidR="009A43A1" w:rsidRPr="00ED2014">
        <w:rPr>
          <w:lang w:val="fr-BE"/>
        </w:rPr>
        <w:t xml:space="preserve">avait été de </w:t>
      </w:r>
      <w:r w:rsidRPr="00ED2014">
        <w:rPr>
          <w:lang w:val="fr-BE"/>
        </w:rPr>
        <w:t xml:space="preserve">de protéger la négociation collective et le droit de grève, il aurait fallu inclure dans le CETA (en son chapitre « investment ») une clause précisant explicitement que l’ICS n’est pas compétent pour juger de plaintes </w:t>
      </w:r>
      <w:r w:rsidR="00E72D1A" w:rsidRPr="00ED2014">
        <w:rPr>
          <w:lang w:val="fr-BE"/>
        </w:rPr>
        <w:t>relatives à des conventions et actions collectives</w:t>
      </w:r>
      <w:r w:rsidRPr="00ED2014">
        <w:rPr>
          <w:lang w:val="fr-BE"/>
        </w:rPr>
        <w:t xml:space="preserve">. </w:t>
      </w:r>
      <w:r w:rsidR="0016535C" w:rsidRPr="0016535C">
        <w:rPr>
          <w:lang w:val="en-US"/>
        </w:rPr>
        <w:t xml:space="preserve">C’est </w:t>
      </w:r>
      <w:r w:rsidR="00B46056">
        <w:rPr>
          <w:lang w:val="en-US"/>
        </w:rPr>
        <w:t>l’avis du professeur Van Harten:</w:t>
      </w:r>
    </w:p>
    <w:p w:rsidR="0016535C" w:rsidRPr="0016535C" w:rsidRDefault="0016535C" w:rsidP="002B1C87">
      <w:pPr>
        <w:rPr>
          <w:lang w:val="en-US"/>
        </w:rPr>
      </w:pPr>
    </w:p>
    <w:p w:rsidR="0016535C" w:rsidRPr="002B1C87" w:rsidRDefault="0016535C" w:rsidP="0016535C">
      <w:pPr>
        <w:pStyle w:val="CorpsdetexteNoteSEF"/>
        <w:ind w:left="720"/>
        <w:rPr>
          <w:i/>
          <w:sz w:val="20"/>
          <w:szCs w:val="20"/>
          <w:lang w:val="en-US"/>
        </w:rPr>
      </w:pPr>
      <w:r w:rsidRPr="00BC0A76">
        <w:rPr>
          <w:i/>
          <w:sz w:val="20"/>
          <w:szCs w:val="20"/>
          <w:lang w:val="en-US"/>
        </w:rPr>
        <w:t xml:space="preserve">“For these further elaborations of the meaning of the text to be useful as a protection for collective agreements, they would need to be in the text itself. </w:t>
      </w:r>
      <w:r w:rsidRPr="002B1C87">
        <w:rPr>
          <w:i/>
          <w:sz w:val="20"/>
          <w:szCs w:val="20"/>
          <w:lang w:val="en-US"/>
        </w:rPr>
        <w:t xml:space="preserve">Similar reassurances from governments in public debates about NAFTA have been useless down the road when NAFTA ISDS tribunals arrive at different conclusions by finding, for example, that legitimate environmental measures had violated foreign investor rights (e.g. Clayton/ Bilcon v Canada). </w:t>
      </w:r>
      <w:r w:rsidRPr="002B1C87">
        <w:rPr>
          <w:i/>
          <w:sz w:val="20"/>
          <w:szCs w:val="20"/>
          <w:highlight w:val="yellow"/>
          <w:lang w:val="en-US"/>
        </w:rPr>
        <w:t>If DG Trade is serious about binding ISDS/ ICS tribunals to one or another particular meaning that would protect collective agreements, it must ensure that the meaning is clear from the text</w:t>
      </w:r>
      <w:r w:rsidRPr="002B1C87">
        <w:rPr>
          <w:i/>
          <w:sz w:val="20"/>
          <w:szCs w:val="20"/>
          <w:lang w:val="en-US"/>
        </w:rPr>
        <w:t>. Even then, the risk of potentially massive liability arising from the creation of this special investor protection regime, above and beyond domestic/ EU courts and contractually-agreed forums, cannot be removed fully.”</w:t>
      </w:r>
    </w:p>
    <w:p w:rsidR="0016535C" w:rsidRPr="0016535C" w:rsidRDefault="0016535C" w:rsidP="002B1C87">
      <w:pPr>
        <w:rPr>
          <w:lang w:val="en-US"/>
        </w:rPr>
      </w:pPr>
    </w:p>
    <w:p w:rsidR="002B1C87" w:rsidRPr="00ED2014" w:rsidRDefault="0016535C" w:rsidP="002B1C87">
      <w:pPr>
        <w:rPr>
          <w:rFonts w:ascii="Calibri" w:hAnsi="Calibri"/>
          <w:w w:val="100"/>
          <w:szCs w:val="22"/>
          <w:lang w:val="en-US"/>
        </w:rPr>
      </w:pPr>
      <w:r>
        <w:rPr>
          <w:lang w:val="fr-BE"/>
        </w:rPr>
        <w:t>La</w:t>
      </w:r>
      <w:r w:rsidRPr="0016535C">
        <w:rPr>
          <w:lang w:val="fr-BE"/>
        </w:rPr>
        <w:t xml:space="preserve"> demande </w:t>
      </w:r>
      <w:r>
        <w:rPr>
          <w:lang w:val="fr-BE"/>
        </w:rPr>
        <w:t xml:space="preserve">d’insérer une clause de protection des CCT dans le CETA </w:t>
      </w:r>
      <w:r w:rsidRPr="0016535C">
        <w:rPr>
          <w:lang w:val="fr-BE"/>
        </w:rPr>
        <w:t xml:space="preserve">a été </w:t>
      </w:r>
      <w:r>
        <w:rPr>
          <w:lang w:val="fr-BE"/>
        </w:rPr>
        <w:t>adressé</w:t>
      </w:r>
      <w:r w:rsidRPr="0016535C">
        <w:rPr>
          <w:lang w:val="fr-BE"/>
        </w:rPr>
        <w:t xml:space="preserve">e à plusieurs reprises à la Commission par les </w:t>
      </w:r>
      <w:r w:rsidR="009A43A1" w:rsidRPr="002B1C87">
        <w:rPr>
          <w:lang w:val="fr-BE"/>
        </w:rPr>
        <w:t xml:space="preserve">syndicats </w:t>
      </w:r>
      <w:r w:rsidR="00E72D1A" w:rsidRPr="002B1C87">
        <w:rPr>
          <w:lang w:val="fr-BE"/>
        </w:rPr>
        <w:t xml:space="preserve">européens </w:t>
      </w:r>
      <w:r>
        <w:rPr>
          <w:lang w:val="fr-BE"/>
        </w:rPr>
        <w:t xml:space="preserve">mais aussi par </w:t>
      </w:r>
      <w:r w:rsidR="002B1C87" w:rsidRPr="002B1C87">
        <w:rPr>
          <w:lang w:val="fr-BE"/>
        </w:rPr>
        <w:t>le Consei</w:t>
      </w:r>
      <w:r>
        <w:rPr>
          <w:lang w:val="fr-BE"/>
        </w:rPr>
        <w:t>l économique et social européen. Le CESE, dans lequel rappelons-on trouve aussi des représentants des fédérations patronales européennes</w:t>
      </w:r>
      <w:r w:rsidR="002B1C87">
        <w:rPr>
          <w:lang w:val="fr-BE"/>
        </w:rPr>
        <w:t xml:space="preserve"> –</w:t>
      </w:r>
      <w:r>
        <w:rPr>
          <w:lang w:val="fr-BE"/>
        </w:rPr>
        <w:t xml:space="preserve"> </w:t>
      </w:r>
      <w:r w:rsidR="002B1C87">
        <w:rPr>
          <w:lang w:val="fr-BE"/>
        </w:rPr>
        <w:t xml:space="preserve">a </w:t>
      </w:r>
      <w:r w:rsidR="002B1C87" w:rsidRPr="002B1C87">
        <w:rPr>
          <w:lang w:val="fr-BE"/>
        </w:rPr>
        <w:t xml:space="preserve">adopté </w:t>
      </w:r>
      <w:r>
        <w:rPr>
          <w:lang w:val="fr-BE"/>
        </w:rPr>
        <w:t>tout récemment (</w:t>
      </w:r>
      <w:r w:rsidR="002B1C87" w:rsidRPr="002B1C87">
        <w:rPr>
          <w:lang w:val="fr-BE"/>
        </w:rPr>
        <w:t>par 213 votes pour 23 votes contre et 17 abstention</w:t>
      </w:r>
      <w:r w:rsidR="002B1C87">
        <w:rPr>
          <w:lang w:val="fr-BE"/>
        </w:rPr>
        <w:t>s</w:t>
      </w:r>
      <w:r>
        <w:rPr>
          <w:lang w:val="fr-BE"/>
        </w:rPr>
        <w:t>)</w:t>
      </w:r>
      <w:r w:rsidR="002B1C87" w:rsidRPr="002B1C87">
        <w:rPr>
          <w:lang w:val="fr-BE"/>
        </w:rPr>
        <w:t xml:space="preserve"> </w:t>
      </w:r>
      <w:r w:rsidR="002B1C87">
        <w:rPr>
          <w:lang w:val="fr-BE"/>
        </w:rPr>
        <w:t>un avis consultatif sur les traités en négociation</w:t>
      </w:r>
      <w:r w:rsidR="002B1C87" w:rsidRPr="002B1C87">
        <w:rPr>
          <w:lang w:val="fr-BE"/>
        </w:rPr>
        <w:t xml:space="preserve">. </w:t>
      </w:r>
      <w:r w:rsidR="002B1C87" w:rsidRPr="002B1C87">
        <w:rPr>
          <w:lang w:val="en-US"/>
        </w:rPr>
        <w:t xml:space="preserve">Cet avis </w:t>
      </w:r>
      <w:r>
        <w:rPr>
          <w:lang w:val="en-US"/>
        </w:rPr>
        <w:t xml:space="preserve">demande notamment ceci: </w:t>
      </w:r>
      <w:r w:rsidR="002B1C87" w:rsidRPr="002B1C87">
        <w:rPr>
          <w:i/>
          <w:szCs w:val="20"/>
          <w:lang w:val="en-US"/>
        </w:rPr>
        <w:t>“</w:t>
      </w:r>
      <w:r w:rsidR="002B1C87" w:rsidRPr="002B1C87">
        <w:rPr>
          <w:rStyle w:val="msoins0"/>
          <w:i/>
          <w:color w:val="auto"/>
          <w:szCs w:val="20"/>
          <w:u w:val="none"/>
          <w:lang w:val="en-US"/>
        </w:rPr>
        <w:t xml:space="preserve"> The right to regulate in the area of social protection should </w:t>
      </w:r>
      <w:r w:rsidR="002B1C87" w:rsidRPr="0016535C">
        <w:rPr>
          <w:rStyle w:val="msoins0"/>
          <w:i/>
          <w:color w:val="auto"/>
          <w:szCs w:val="20"/>
          <w:highlight w:val="yellow"/>
          <w:u w:val="none"/>
          <w:lang w:val="en-US"/>
        </w:rPr>
        <w:t>explicitly mention collective agreements</w:t>
      </w:r>
      <w:r w:rsidR="002B1C87" w:rsidRPr="002B1C87">
        <w:rPr>
          <w:rStyle w:val="msoins0"/>
          <w:i/>
          <w:color w:val="auto"/>
          <w:szCs w:val="20"/>
          <w:u w:val="none"/>
          <w:lang w:val="en-US"/>
        </w:rPr>
        <w:t xml:space="preserve">, including tripartite and/or generalized (erga omnes) agreements, in order to exclude them from being made subject to interpretation as a breach of an investor’s legitimate expectations. </w:t>
      </w:r>
      <w:r w:rsidR="002B1C87" w:rsidRPr="00ED2014">
        <w:rPr>
          <w:rStyle w:val="msoins0"/>
          <w:i/>
          <w:color w:val="auto"/>
          <w:szCs w:val="20"/>
          <w:u w:val="none"/>
          <w:lang w:val="en-US"/>
        </w:rPr>
        <w:t>Working and wage conditions set in the context of collective agreements may not be considered as a non-tariff barrier to trade.”</w:t>
      </w:r>
    </w:p>
    <w:p w:rsidR="002B1C87" w:rsidRPr="00ED2014" w:rsidRDefault="002B1C87" w:rsidP="002B1C87">
      <w:pPr>
        <w:pStyle w:val="CorpsdetexteNoteSEF"/>
        <w:rPr>
          <w:i/>
          <w:lang w:val="en-US"/>
        </w:rPr>
      </w:pPr>
      <w:r w:rsidRPr="00ED2014">
        <w:rPr>
          <w:i/>
          <w:lang w:val="en-US"/>
        </w:rPr>
        <w:t> </w:t>
      </w:r>
    </w:p>
    <w:p w:rsidR="00FC38E1" w:rsidRPr="00BC0A76" w:rsidRDefault="00FC38E1" w:rsidP="00FC38E1">
      <w:pPr>
        <w:pStyle w:val="Service"/>
        <w:rPr>
          <w:sz w:val="22"/>
          <w:lang w:val="en-US"/>
        </w:rPr>
      </w:pPr>
      <w:bookmarkStart w:id="0" w:name="_GoBack"/>
      <w:bookmarkEnd w:id="0"/>
      <w:r w:rsidRPr="00BC0A76">
        <w:rPr>
          <w:lang w:val="en-US"/>
        </w:rPr>
        <w:br w:type="page"/>
      </w:r>
    </w:p>
    <w:p w:rsidR="00FD1F5F" w:rsidRPr="00BC0A76" w:rsidRDefault="00FD1F5F" w:rsidP="00854482">
      <w:pPr>
        <w:pStyle w:val="CorpsdetexteNoteSEF"/>
        <w:rPr>
          <w:lang w:val="en-US"/>
        </w:rPr>
      </w:pPr>
    </w:p>
    <w:p w:rsidR="009A43A1" w:rsidRDefault="00FC38E1" w:rsidP="00FC38E1">
      <w:pPr>
        <w:pStyle w:val="CorpsdetexteNoteSEF"/>
        <w:pBdr>
          <w:top w:val="single" w:sz="4" w:space="1" w:color="auto"/>
          <w:left w:val="single" w:sz="4" w:space="4" w:color="auto"/>
          <w:bottom w:val="single" w:sz="4" w:space="1" w:color="auto"/>
          <w:right w:val="single" w:sz="4" w:space="4" w:color="auto"/>
        </w:pBdr>
        <w:spacing w:after="0"/>
        <w:rPr>
          <w:i/>
          <w:color w:val="0070C0"/>
          <w:lang w:val="en-US"/>
        </w:rPr>
      </w:pPr>
      <w:r>
        <w:rPr>
          <w:i/>
          <w:color w:val="0070C0"/>
          <w:lang w:val="en-US"/>
        </w:rPr>
        <w:t>7.</w:t>
      </w:r>
      <w:r w:rsidR="009A43A1" w:rsidRPr="009A43A1">
        <w:rPr>
          <w:i/>
          <w:color w:val="0070C0"/>
          <w:lang w:val="en-US"/>
        </w:rPr>
        <w:t>« CETA commits Canada and the European Union and its Members States to improving their laws and policies with the goal of providing high l</w:t>
      </w:r>
      <w:r w:rsidR="009A43A1">
        <w:rPr>
          <w:i/>
          <w:color w:val="0070C0"/>
          <w:lang w:val="en-US"/>
        </w:rPr>
        <w:t>e</w:t>
      </w:r>
      <w:r w:rsidR="009A43A1" w:rsidRPr="009A43A1">
        <w:rPr>
          <w:i/>
          <w:color w:val="0070C0"/>
          <w:lang w:val="en-US"/>
        </w:rPr>
        <w:t>vels of labour protection. CETA</w:t>
      </w:r>
      <w:r w:rsidR="009A43A1">
        <w:rPr>
          <w:i/>
          <w:color w:val="0070C0"/>
          <w:lang w:val="en-US"/>
        </w:rPr>
        <w:t xml:space="preserve"> provides that they cannot relax</w:t>
      </w:r>
      <w:r w:rsidR="009A43A1" w:rsidRPr="009A43A1">
        <w:rPr>
          <w:i/>
          <w:color w:val="0070C0"/>
          <w:lang w:val="en-US"/>
        </w:rPr>
        <w:t xml:space="preserve"> their labour laws in order to encourage trade or attract investment”</w:t>
      </w:r>
      <w:r>
        <w:rPr>
          <w:i/>
          <w:color w:val="0070C0"/>
          <w:lang w:val="en-US"/>
        </w:rPr>
        <w:t>.</w:t>
      </w:r>
    </w:p>
    <w:p w:rsidR="00FC38E1" w:rsidRPr="002B1C87" w:rsidRDefault="00FC38E1" w:rsidP="00FC38E1">
      <w:pPr>
        <w:pStyle w:val="CorpsdetexteNoteSEF"/>
        <w:pBdr>
          <w:top w:val="single" w:sz="4" w:space="1" w:color="auto"/>
          <w:left w:val="single" w:sz="4" w:space="4" w:color="auto"/>
          <w:bottom w:val="single" w:sz="4" w:space="1" w:color="auto"/>
          <w:right w:val="single" w:sz="4" w:space="4" w:color="auto"/>
        </w:pBdr>
        <w:spacing w:after="0"/>
        <w:rPr>
          <w:b/>
          <w:color w:val="0070C0"/>
        </w:rPr>
      </w:pPr>
      <w:r w:rsidRPr="002B1C87">
        <w:rPr>
          <w:b/>
          <w:color w:val="0070C0"/>
        </w:rPr>
        <w:t>[Labour protection]</w:t>
      </w:r>
    </w:p>
    <w:p w:rsidR="00FC38E1" w:rsidRPr="002B1C87" w:rsidRDefault="00FC38E1" w:rsidP="00FC38E1">
      <w:pPr>
        <w:pStyle w:val="CorpsdetexteNoteSEF"/>
        <w:spacing w:after="0"/>
        <w:rPr>
          <w:color w:val="0070C0"/>
        </w:rPr>
      </w:pPr>
    </w:p>
    <w:p w:rsidR="00E01536" w:rsidRPr="009A43A1" w:rsidRDefault="009A43A1" w:rsidP="009A43A1">
      <w:pPr>
        <w:pStyle w:val="CorpsdetexteNoteSEF"/>
        <w:rPr>
          <w:b/>
        </w:rPr>
      </w:pPr>
      <w:r w:rsidRPr="009A43A1">
        <w:rPr>
          <w:b/>
        </w:rPr>
        <w:t>Réponse</w:t>
      </w:r>
    </w:p>
    <w:p w:rsidR="009A43A1" w:rsidRDefault="009A43A1" w:rsidP="009A43A1">
      <w:pPr>
        <w:pStyle w:val="CorpsdetexteNoteSEF"/>
      </w:pPr>
      <w:r>
        <w:t xml:space="preserve">Le langage de cette déclaration illustre à nouveau qu’aucun mécanisme contraignant n’a été mis en place pour contraindre les Etats à respecter ces engagements, lesquels sont donc symboliques. </w:t>
      </w:r>
    </w:p>
    <w:p w:rsidR="009A43A1" w:rsidRDefault="009A43A1" w:rsidP="009A43A1">
      <w:pPr>
        <w:pStyle w:val="CorpsdetexteNoteSEF"/>
      </w:pPr>
      <w:r>
        <w:t>-les syndicats et la société civile ne peuvent activer directement le mécanisme de plainte et de consultation (seule les pouvoirs publics peuvent le faire, probablement la DG trade, don</w:t>
      </w:r>
      <w:r w:rsidR="001C6FC5">
        <w:t>t</w:t>
      </w:r>
      <w:r>
        <w:t xml:space="preserve"> on </w:t>
      </w:r>
      <w:r w:rsidR="001C6FC5">
        <w:t xml:space="preserve">peut pressentir </w:t>
      </w:r>
      <w:r>
        <w:t>le faible empressement à le faire).</w:t>
      </w:r>
    </w:p>
    <w:p w:rsidR="009A43A1" w:rsidRDefault="009A43A1" w:rsidP="009A43A1">
      <w:pPr>
        <w:pStyle w:val="CorpsdetexteNoteSEF"/>
      </w:pPr>
      <w:r>
        <w:t xml:space="preserve">-quoi qu’il advienne, ce mécanisme n’aboutit qu’à des consultations, sans possibilité de condamnation et de sanction du gouvernement mis en cause. Il est explicitement prévu que le mécanisme de règlement des différends Etat-Etat (qui a un caractère contraignant et couvre la plupart ou l’entièreté des dispositions du CETA) est mis hors-jeu pour ce qui concerne les dispositions du chapitre 23 (« trade and labour »). </w:t>
      </w:r>
    </w:p>
    <w:p w:rsidR="009A43A1" w:rsidRPr="009A43A1" w:rsidRDefault="009A43A1" w:rsidP="009A43A1">
      <w:pPr>
        <w:pStyle w:val="CorpsdetexteNoteSEF"/>
      </w:pPr>
    </w:p>
    <w:sectPr w:rsidR="009A43A1" w:rsidRPr="009A43A1" w:rsidSect="00797342">
      <w:headerReference w:type="even" r:id="rId9"/>
      <w:headerReference w:type="default" r:id="rId10"/>
      <w:footerReference w:type="even" r:id="rId11"/>
      <w:footerReference w:type="default" r:id="rId12"/>
      <w:headerReference w:type="first" r:id="rId13"/>
      <w:footerReference w:type="first" r:id="rId14"/>
      <w:pgSz w:w="11906" w:h="16838" w:code="9"/>
      <w:pgMar w:top="1134" w:right="1466"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ACC" w:rsidRDefault="005B4ACC">
      <w:r>
        <w:separator/>
      </w:r>
    </w:p>
  </w:endnote>
  <w:endnote w:type="continuationSeparator" w:id="0">
    <w:p w:rsidR="005B4ACC" w:rsidRDefault="005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BF" w:rsidRDefault="00D37E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342" w:rsidRPr="004F68E9" w:rsidRDefault="00161542" w:rsidP="004F68E9">
    <w:pPr>
      <w:pStyle w:val="Pieddepage"/>
      <w:pBdr>
        <w:top w:val="single" w:sz="4" w:space="1" w:color="auto"/>
      </w:pBdr>
      <w:tabs>
        <w:tab w:val="clear" w:pos="9026"/>
        <w:tab w:val="right" w:pos="9072"/>
      </w:tabs>
      <w:rPr>
        <w:sz w:val="18"/>
        <w:szCs w:val="18"/>
        <w:lang w:val="fr-BE"/>
      </w:rPr>
    </w:pPr>
    <w:r>
      <w:rPr>
        <w:sz w:val="18"/>
        <w:szCs w:val="18"/>
        <w:lang w:val="fr-BE"/>
      </w:rPr>
      <w:fldChar w:fldCharType="begin"/>
    </w:r>
    <w:r w:rsidR="004F68E9">
      <w:rPr>
        <w:sz w:val="18"/>
        <w:szCs w:val="18"/>
        <w:lang w:val="fr-BE"/>
      </w:rPr>
      <w:instrText xml:space="preserve"> CREATEDATE  \@ "d MMMM yyyy"  \* MERGEFORMAT </w:instrText>
    </w:r>
    <w:r>
      <w:rPr>
        <w:sz w:val="18"/>
        <w:szCs w:val="18"/>
        <w:lang w:val="fr-BE"/>
      </w:rPr>
      <w:fldChar w:fldCharType="separate"/>
    </w:r>
    <w:r w:rsidR="00641F46">
      <w:rPr>
        <w:noProof/>
        <w:sz w:val="18"/>
        <w:szCs w:val="18"/>
        <w:lang w:val="fr-BE"/>
      </w:rPr>
      <w:t>19 janvier 2012</w:t>
    </w:r>
    <w:r>
      <w:rPr>
        <w:sz w:val="18"/>
        <w:szCs w:val="18"/>
        <w:lang w:val="fr-BE"/>
      </w:rPr>
      <w:fldChar w:fldCharType="end"/>
    </w:r>
    <w:r w:rsidR="004F68E9" w:rsidRPr="00BE5FFF">
      <w:rPr>
        <w:sz w:val="18"/>
        <w:szCs w:val="18"/>
        <w:lang w:val="fr-BE"/>
      </w:rPr>
      <w:tab/>
    </w:r>
    <w:r w:rsidR="004F68E9" w:rsidRPr="00BE5FFF">
      <w:rPr>
        <w:sz w:val="18"/>
        <w:szCs w:val="18"/>
        <w:lang w:val="fr-BE"/>
      </w:rPr>
      <w:tab/>
      <w:t xml:space="preserve">Page </w:t>
    </w:r>
    <w:r w:rsidRPr="00BE5FFF">
      <w:rPr>
        <w:sz w:val="18"/>
        <w:szCs w:val="18"/>
        <w:lang w:val="fr-BE"/>
      </w:rPr>
      <w:fldChar w:fldCharType="begin"/>
    </w:r>
    <w:r w:rsidR="004F68E9" w:rsidRPr="00BE5FFF">
      <w:rPr>
        <w:sz w:val="18"/>
        <w:szCs w:val="18"/>
        <w:lang w:val="fr-BE"/>
      </w:rPr>
      <w:instrText xml:space="preserve"> PAGE </w:instrText>
    </w:r>
    <w:r w:rsidRPr="00BE5FFF">
      <w:rPr>
        <w:sz w:val="18"/>
        <w:szCs w:val="18"/>
        <w:lang w:val="fr-BE"/>
      </w:rPr>
      <w:fldChar w:fldCharType="separate"/>
    </w:r>
    <w:r w:rsidR="00B46056">
      <w:rPr>
        <w:noProof/>
        <w:sz w:val="18"/>
        <w:szCs w:val="18"/>
        <w:lang w:val="fr-BE"/>
      </w:rPr>
      <w:t>7</w:t>
    </w:r>
    <w:r w:rsidRPr="00BE5FFF">
      <w:rPr>
        <w:sz w:val="18"/>
        <w:szCs w:val="18"/>
        <w:lang w:val="fr-BE"/>
      </w:rPr>
      <w:fldChar w:fldCharType="end"/>
    </w:r>
    <w:r w:rsidR="004F68E9" w:rsidRPr="00BE5FFF">
      <w:rPr>
        <w:sz w:val="18"/>
        <w:szCs w:val="18"/>
        <w:lang w:val="fr-BE"/>
      </w:rPr>
      <w:t xml:space="preserve"> sur </w:t>
    </w:r>
    <w:fldSimple w:instr=" NUMPAGES  \* MERGEFORMAT ">
      <w:r w:rsidR="00B46056" w:rsidRPr="00B46056">
        <w:rPr>
          <w:noProof/>
          <w:sz w:val="18"/>
          <w:szCs w:val="18"/>
          <w:lang w:val="fr-BE"/>
        </w:rPr>
        <w:t>7</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342" w:rsidRPr="00797342" w:rsidRDefault="00CC59C6" w:rsidP="00F919AA">
    <w:pPr>
      <w:pBdr>
        <w:top w:val="single" w:sz="4" w:space="1" w:color="auto"/>
      </w:pBdr>
      <w:tabs>
        <w:tab w:val="right" w:pos="9015"/>
      </w:tabs>
      <w:rPr>
        <w:sz w:val="18"/>
        <w:szCs w:val="18"/>
      </w:rPr>
    </w:pPr>
    <w:fldSimple w:instr=" FILENAME \p \* MERGEFORMAT">
      <w:r w:rsidR="00641F46" w:rsidRPr="00641F46">
        <w:rPr>
          <w:noProof/>
          <w:sz w:val="18"/>
          <w:szCs w:val="18"/>
        </w:rPr>
        <w:t>C</w:t>
      </w:r>
      <w:r w:rsidR="00641F46">
        <w:rPr>
          <w:noProof/>
        </w:rPr>
        <w:t>:\Documents and Settings\u99elb\Desktop\Note SEF EL.docx</w:t>
      </w:r>
    </w:fldSimple>
    <w:r w:rsidR="00797342" w:rsidRPr="00797342">
      <w:rPr>
        <w:sz w:val="18"/>
        <w:szCs w:val="18"/>
      </w:rPr>
      <w:tab/>
      <w:t xml:space="preserve">Page </w:t>
    </w:r>
    <w:r w:rsidR="00161542" w:rsidRPr="00797342">
      <w:rPr>
        <w:sz w:val="18"/>
        <w:szCs w:val="18"/>
      </w:rPr>
      <w:fldChar w:fldCharType="begin"/>
    </w:r>
    <w:r w:rsidR="00797342" w:rsidRPr="00797342">
      <w:rPr>
        <w:sz w:val="18"/>
        <w:szCs w:val="18"/>
      </w:rPr>
      <w:instrText xml:space="preserve"> PAGE </w:instrText>
    </w:r>
    <w:r w:rsidR="00161542" w:rsidRPr="00797342">
      <w:rPr>
        <w:sz w:val="18"/>
        <w:szCs w:val="18"/>
      </w:rPr>
      <w:fldChar w:fldCharType="separate"/>
    </w:r>
    <w:r w:rsidR="00140F7A">
      <w:rPr>
        <w:noProof/>
        <w:sz w:val="18"/>
        <w:szCs w:val="18"/>
      </w:rPr>
      <w:t>1</w:t>
    </w:r>
    <w:r w:rsidR="00161542" w:rsidRPr="00797342">
      <w:rPr>
        <w:sz w:val="18"/>
        <w:szCs w:val="18"/>
      </w:rPr>
      <w:fldChar w:fldCharType="end"/>
    </w:r>
    <w:r w:rsidR="00797342" w:rsidRPr="00797342">
      <w:rPr>
        <w:sz w:val="18"/>
        <w:szCs w:val="18"/>
      </w:rPr>
      <w:t xml:space="preserve"> sur </w:t>
    </w:r>
    <w:fldSimple w:instr=" NUMPAGES   \* MERGEFORMAT ">
      <w:r w:rsidR="00140F7A" w:rsidRPr="00140F7A">
        <w:rPr>
          <w:noProof/>
          <w:sz w:val="18"/>
          <w:szCs w:val="18"/>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ACC" w:rsidRDefault="005B4ACC">
      <w:r>
        <w:separator/>
      </w:r>
    </w:p>
  </w:footnote>
  <w:footnote w:type="continuationSeparator" w:id="0">
    <w:p w:rsidR="005B4ACC" w:rsidRDefault="005B4ACC">
      <w:r>
        <w:continuationSeparator/>
      </w:r>
    </w:p>
  </w:footnote>
  <w:footnote w:id="1">
    <w:p w:rsidR="00F6761D" w:rsidRPr="00F6761D" w:rsidRDefault="00F6761D">
      <w:pPr>
        <w:pStyle w:val="Notedebasdepage"/>
        <w:rPr>
          <w:lang w:val="en-US"/>
        </w:rPr>
      </w:pPr>
      <w:r>
        <w:rPr>
          <w:rStyle w:val="Appelnotedebasdep"/>
        </w:rPr>
        <w:footnoteRef/>
      </w:r>
      <w:r w:rsidRPr="00F6761D">
        <w:rPr>
          <w:lang w:val="en-US"/>
        </w:rPr>
        <w:t xml:space="preserve"> </w:t>
      </w:r>
      <w:r>
        <w:rPr>
          <w:lang w:val="en-US"/>
        </w:rPr>
        <w:t xml:space="preserve">“A trade </w:t>
      </w:r>
      <w:r w:rsidR="00E72D1A">
        <w:rPr>
          <w:lang w:val="en-US"/>
        </w:rPr>
        <w:t>SIA relating to the negotiation of a Comprehensive Economic and Trade Agreement (CETA) between the EU and Canada”, Final report, Juin 2011.</w:t>
      </w:r>
    </w:p>
  </w:footnote>
  <w:footnote w:id="2">
    <w:p w:rsidR="001C6FC5" w:rsidRPr="001C6FC5" w:rsidRDefault="001C6FC5" w:rsidP="001C6FC5">
      <w:pPr>
        <w:pStyle w:val="Notedebasdepage"/>
        <w:rPr>
          <w:lang w:val="fr-BE"/>
        </w:rPr>
      </w:pPr>
      <w:r>
        <w:rPr>
          <w:rStyle w:val="Appelnotedebasdep"/>
        </w:rPr>
        <w:footnoteRef/>
      </w:r>
      <w:r w:rsidRPr="001C6FC5">
        <w:rPr>
          <w:lang w:val="en-US"/>
        </w:rPr>
        <w:t xml:space="preserve"> Voir Thomas Fritz, « CETA and TTIP. Potential impacts on health and social servies », Working paper commissioned by EPSU. </w:t>
      </w:r>
      <w:r w:rsidRPr="001C6FC5">
        <w:rPr>
          <w:lang w:val="fr-BE"/>
        </w:rPr>
        <w:t>Ainsi, l</w:t>
      </w:r>
      <w:r>
        <w:rPr>
          <w:lang w:val="fr-BE"/>
        </w:rPr>
        <w:t xml:space="preserve">a clause dite de « public utilities » protège contre certains aspects des règles d’ « accès au marché », mais pas  contre les règles de « traitement national » et contre les standards de protection des investissements. </w:t>
      </w:r>
    </w:p>
  </w:footnote>
  <w:footnote w:id="3">
    <w:p w:rsidR="00E72D1A" w:rsidRPr="001C6FC5" w:rsidRDefault="00E72D1A">
      <w:pPr>
        <w:pStyle w:val="Notedebasdepage"/>
        <w:rPr>
          <w:lang w:val="fr-BE"/>
        </w:rPr>
      </w:pPr>
      <w:r>
        <w:rPr>
          <w:rStyle w:val="Appelnotedebasdep"/>
        </w:rPr>
        <w:footnoteRef/>
      </w:r>
      <w:r w:rsidRPr="001C6FC5">
        <w:rPr>
          <w:lang w:val="fr-BE"/>
        </w:rPr>
        <w:t xml:space="preserve"> Commission européenne, “Reply to UNI”, document non publié, Septembre 2016.</w:t>
      </w:r>
    </w:p>
  </w:footnote>
  <w:footnote w:id="4">
    <w:p w:rsidR="001D6A53" w:rsidRPr="0060132C" w:rsidRDefault="001D6A53" w:rsidP="001D6A53">
      <w:pPr>
        <w:pStyle w:val="Notedebasdepage"/>
        <w:rPr>
          <w:lang w:val="en-US"/>
        </w:rPr>
      </w:pPr>
      <w:r>
        <w:rPr>
          <w:rStyle w:val="Appelnotedebasdep"/>
        </w:rPr>
        <w:footnoteRef/>
      </w:r>
      <w:r w:rsidRPr="0060132C">
        <w:rPr>
          <w:lang w:val="en-US"/>
        </w:rPr>
        <w:t xml:space="preserve"> Gus Van Harten, “Reply comments concerning the European Commission (DG Trade)’s reply to UNI</w:t>
      </w:r>
      <w:r>
        <w:rPr>
          <w:lang w:val="en-US"/>
        </w:rPr>
        <w:t>”</w:t>
      </w:r>
      <w:r w:rsidRPr="0060132C">
        <w:rPr>
          <w:lang w:val="en-US"/>
        </w:rPr>
        <w:t xml:space="preserve">, octobre 2016. </w:t>
      </w:r>
    </w:p>
  </w:footnote>
  <w:footnote w:id="5">
    <w:p w:rsidR="00E72D1A" w:rsidRPr="00E72D1A" w:rsidRDefault="00E72D1A">
      <w:pPr>
        <w:pStyle w:val="Notedebasdepage"/>
        <w:rPr>
          <w:lang w:val="en-US"/>
        </w:rPr>
      </w:pPr>
      <w:r>
        <w:rPr>
          <w:rStyle w:val="Appelnotedebasdep"/>
        </w:rPr>
        <w:footnoteRef/>
      </w:r>
      <w:r w:rsidRPr="00E72D1A">
        <w:rPr>
          <w:lang w:val="en-US"/>
        </w:rPr>
        <w:t xml:space="preserve"> </w:t>
      </w:r>
      <w:r>
        <w:rPr>
          <w:lang w:val="en-US"/>
        </w:rPr>
        <w:t>“A trade SIA relating to the negotiation of a Comprehensive Economic and Trade Agreement (CETA) between the EU and Canada”, Final report, Juin 2011, p. 437-438.</w:t>
      </w:r>
    </w:p>
  </w:footnote>
  <w:footnote w:id="6">
    <w:p w:rsidR="00CF23F7" w:rsidRPr="00CF23F7" w:rsidRDefault="00CF23F7">
      <w:pPr>
        <w:pStyle w:val="Notedebasdepage"/>
      </w:pPr>
      <w:r>
        <w:rPr>
          <w:rStyle w:val="Appelnotedebasdep"/>
        </w:rPr>
        <w:footnoteRef/>
      </w:r>
      <w:r>
        <w:t xml:space="preserve"> </w:t>
      </w:r>
      <w:r w:rsidRPr="00CF23F7">
        <w:t>Gus Van Harten, op. cit.</w:t>
      </w:r>
    </w:p>
  </w:footnote>
  <w:footnote w:id="7">
    <w:p w:rsidR="00CF23F7" w:rsidRPr="00CF23F7" w:rsidRDefault="00CF23F7">
      <w:pPr>
        <w:pStyle w:val="Notedebasdepage"/>
        <w:rPr>
          <w:lang w:val="fr-BE"/>
        </w:rPr>
      </w:pPr>
      <w:r>
        <w:rPr>
          <w:rStyle w:val="Appelnotedebasdep"/>
        </w:rPr>
        <w:footnoteRef/>
      </w:r>
      <w:r>
        <w:t xml:space="preserve"> </w:t>
      </w:r>
      <w:r>
        <w:rPr>
          <w:lang w:val="fr-BE"/>
        </w:rPr>
        <w:t>Ibidem.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BF" w:rsidRDefault="00D37EB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F8" w:rsidRDefault="00197DF8">
    <w:pPr>
      <w:tabs>
        <w:tab w:val="right" w:pos="8460"/>
      </w:tabs>
      <w:ind w:left="-5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BF" w:rsidRDefault="00D37E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406"/>
    <w:multiLevelType w:val="hybridMultilevel"/>
    <w:tmpl w:val="DC706F98"/>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4305F06"/>
    <w:multiLevelType w:val="multilevel"/>
    <w:tmpl w:val="6C2A234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8477CD"/>
    <w:multiLevelType w:val="hybridMultilevel"/>
    <w:tmpl w:val="C4A68FFE"/>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5D26B96"/>
    <w:multiLevelType w:val="hybridMultilevel"/>
    <w:tmpl w:val="343EAD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050001"/>
    <w:multiLevelType w:val="hybridMultilevel"/>
    <w:tmpl w:val="B2CCD18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D093A99"/>
    <w:multiLevelType w:val="hybridMultilevel"/>
    <w:tmpl w:val="89749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76FE8"/>
    <w:multiLevelType w:val="hybridMultilevel"/>
    <w:tmpl w:val="5B32F1A4"/>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16F74988"/>
    <w:multiLevelType w:val="hybridMultilevel"/>
    <w:tmpl w:val="C7B4E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77BD4"/>
    <w:multiLevelType w:val="hybridMultilevel"/>
    <w:tmpl w:val="A3EE90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79298A"/>
    <w:multiLevelType w:val="hybridMultilevel"/>
    <w:tmpl w:val="968CFE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BFD4580"/>
    <w:multiLevelType w:val="hybridMultilevel"/>
    <w:tmpl w:val="7FC899E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31996A60"/>
    <w:multiLevelType w:val="hybridMultilevel"/>
    <w:tmpl w:val="4E2C5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382A62"/>
    <w:multiLevelType w:val="hybridMultilevel"/>
    <w:tmpl w:val="6D408F30"/>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E4B0755"/>
    <w:multiLevelType w:val="hybridMultilevel"/>
    <w:tmpl w:val="F0462CA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3F46110F"/>
    <w:multiLevelType w:val="hybridMultilevel"/>
    <w:tmpl w:val="5E6E2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1726B6A"/>
    <w:multiLevelType w:val="hybridMultilevel"/>
    <w:tmpl w:val="D1DA472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F500358"/>
    <w:multiLevelType w:val="hybridMultilevel"/>
    <w:tmpl w:val="2DBE45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5317B52"/>
    <w:multiLevelType w:val="hybridMultilevel"/>
    <w:tmpl w:val="A9F6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8E3C25"/>
    <w:multiLevelType w:val="hybridMultilevel"/>
    <w:tmpl w:val="215C3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F26AE4"/>
    <w:multiLevelType w:val="hybridMultilevel"/>
    <w:tmpl w:val="A1083AC0"/>
    <w:lvl w:ilvl="0" w:tplc="B1D833C8">
      <w:start w:val="1"/>
      <w:numFmt w:val="bullet"/>
      <w:lvlText w:val=""/>
      <w:lvlJc w:val="left"/>
      <w:pPr>
        <w:ind w:left="720" w:hanging="360"/>
      </w:pPr>
      <w:rPr>
        <w:rFonts w:ascii="Wingdings 2" w:hAnsi="Wingdings 2" w:hint="default"/>
      </w:rPr>
    </w:lvl>
    <w:lvl w:ilvl="1" w:tplc="558075E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ED2699D"/>
    <w:multiLevelType w:val="hybridMultilevel"/>
    <w:tmpl w:val="A904B0BC"/>
    <w:lvl w:ilvl="0" w:tplc="D204736C">
      <w:start w:val="1"/>
      <w:numFmt w:val="bullet"/>
      <w:lvlText w:val=""/>
      <w:lvlJc w:val="left"/>
      <w:pPr>
        <w:ind w:left="720" w:hanging="360"/>
      </w:pPr>
      <w:rPr>
        <w:rFonts w:ascii="Wingdings 3" w:hAnsi="Wingdings 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4B12A24"/>
    <w:multiLevelType w:val="hybridMultilevel"/>
    <w:tmpl w:val="BB28696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6525043E"/>
    <w:multiLevelType w:val="hybridMultilevel"/>
    <w:tmpl w:val="EAE62A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C426D2A"/>
    <w:multiLevelType w:val="hybridMultilevel"/>
    <w:tmpl w:val="7D7EF2B2"/>
    <w:lvl w:ilvl="0" w:tplc="B1D833C8">
      <w:start w:val="1"/>
      <w:numFmt w:val="bullet"/>
      <w:lvlText w:val=""/>
      <w:lvlJc w:val="left"/>
      <w:pPr>
        <w:ind w:left="720" w:hanging="360"/>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2FC788A"/>
    <w:multiLevelType w:val="hybridMultilevel"/>
    <w:tmpl w:val="4792F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FE4A52"/>
    <w:multiLevelType w:val="hybridMultilevel"/>
    <w:tmpl w:val="BC2C8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A92061"/>
    <w:multiLevelType w:val="hybridMultilevel"/>
    <w:tmpl w:val="C73CF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E2080F"/>
    <w:multiLevelType w:val="hybridMultilevel"/>
    <w:tmpl w:val="09209288"/>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20"/>
  </w:num>
  <w:num w:numId="6">
    <w:abstractNumId w:val="23"/>
  </w:num>
  <w:num w:numId="7">
    <w:abstractNumId w:val="19"/>
  </w:num>
  <w:num w:numId="8">
    <w:abstractNumId w:val="8"/>
  </w:num>
  <w:num w:numId="9">
    <w:abstractNumId w:val="18"/>
  </w:num>
  <w:num w:numId="10">
    <w:abstractNumId w:val="7"/>
  </w:num>
  <w:num w:numId="11">
    <w:abstractNumId w:val="16"/>
  </w:num>
  <w:num w:numId="12">
    <w:abstractNumId w:val="25"/>
  </w:num>
  <w:num w:numId="13">
    <w:abstractNumId w:val="26"/>
  </w:num>
  <w:num w:numId="14">
    <w:abstractNumId w:val="22"/>
  </w:num>
  <w:num w:numId="15">
    <w:abstractNumId w:val="5"/>
  </w:num>
  <w:num w:numId="16">
    <w:abstractNumId w:val="3"/>
  </w:num>
  <w:num w:numId="17">
    <w:abstractNumId w:val="14"/>
  </w:num>
  <w:num w:numId="18">
    <w:abstractNumId w:val="17"/>
  </w:num>
  <w:num w:numId="19">
    <w:abstractNumId w:val="15"/>
  </w:num>
  <w:num w:numId="20">
    <w:abstractNumId w:val="21"/>
  </w:num>
  <w:num w:numId="21">
    <w:abstractNumId w:val="6"/>
  </w:num>
  <w:num w:numId="22">
    <w:abstractNumId w:val="0"/>
  </w:num>
  <w:num w:numId="23">
    <w:abstractNumId w:val="2"/>
  </w:num>
  <w:num w:numId="24">
    <w:abstractNumId w:val="27"/>
  </w:num>
  <w:num w:numId="25">
    <w:abstractNumId w:val="12"/>
  </w:num>
  <w:num w:numId="26">
    <w:abstractNumId w:val="10"/>
  </w:num>
  <w:num w:numId="27">
    <w:abstractNumId w:val="9"/>
  </w:num>
  <w:num w:numId="28">
    <w:abstractNumId w:val="4"/>
  </w:num>
  <w:num w:numId="29">
    <w:abstractNumId w:val="13"/>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6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B"/>
    <w:rsid w:val="00013489"/>
    <w:rsid w:val="00033671"/>
    <w:rsid w:val="00047F73"/>
    <w:rsid w:val="00073FF9"/>
    <w:rsid w:val="000772D5"/>
    <w:rsid w:val="000825D6"/>
    <w:rsid w:val="00083DA6"/>
    <w:rsid w:val="00085863"/>
    <w:rsid w:val="0009513E"/>
    <w:rsid w:val="000C5047"/>
    <w:rsid w:val="000C64E7"/>
    <w:rsid w:val="000D6D3C"/>
    <w:rsid w:val="000D7B39"/>
    <w:rsid w:val="000E1DE2"/>
    <w:rsid w:val="000E2FCA"/>
    <w:rsid w:val="000F2CD5"/>
    <w:rsid w:val="001000A3"/>
    <w:rsid w:val="001071D5"/>
    <w:rsid w:val="0011220F"/>
    <w:rsid w:val="001122F7"/>
    <w:rsid w:val="00113C19"/>
    <w:rsid w:val="00114239"/>
    <w:rsid w:val="00135B60"/>
    <w:rsid w:val="00135FBA"/>
    <w:rsid w:val="00140F7A"/>
    <w:rsid w:val="00145C35"/>
    <w:rsid w:val="0015282B"/>
    <w:rsid w:val="00161542"/>
    <w:rsid w:val="0016535C"/>
    <w:rsid w:val="001663C1"/>
    <w:rsid w:val="00183DCA"/>
    <w:rsid w:val="00184A04"/>
    <w:rsid w:val="00191CF8"/>
    <w:rsid w:val="00197DF8"/>
    <w:rsid w:val="001A04E1"/>
    <w:rsid w:val="001A068F"/>
    <w:rsid w:val="001C6FC5"/>
    <w:rsid w:val="001D6A53"/>
    <w:rsid w:val="001E7CBC"/>
    <w:rsid w:val="001F40BD"/>
    <w:rsid w:val="002053A3"/>
    <w:rsid w:val="00217095"/>
    <w:rsid w:val="00232424"/>
    <w:rsid w:val="00236C75"/>
    <w:rsid w:val="00240229"/>
    <w:rsid w:val="002448A2"/>
    <w:rsid w:val="002B1BF7"/>
    <w:rsid w:val="002B1C87"/>
    <w:rsid w:val="002D125A"/>
    <w:rsid w:val="002D5379"/>
    <w:rsid w:val="002F2DD0"/>
    <w:rsid w:val="00301CC4"/>
    <w:rsid w:val="00321508"/>
    <w:rsid w:val="003235AE"/>
    <w:rsid w:val="00331D62"/>
    <w:rsid w:val="00334B5D"/>
    <w:rsid w:val="00334CE3"/>
    <w:rsid w:val="003436B9"/>
    <w:rsid w:val="0034446E"/>
    <w:rsid w:val="00357174"/>
    <w:rsid w:val="00357DE8"/>
    <w:rsid w:val="0036232C"/>
    <w:rsid w:val="00363453"/>
    <w:rsid w:val="00365576"/>
    <w:rsid w:val="0037742D"/>
    <w:rsid w:val="00377944"/>
    <w:rsid w:val="00392FF0"/>
    <w:rsid w:val="0039309E"/>
    <w:rsid w:val="00397FA1"/>
    <w:rsid w:val="003B4D02"/>
    <w:rsid w:val="003C0D20"/>
    <w:rsid w:val="003D5E1B"/>
    <w:rsid w:val="003E3DE5"/>
    <w:rsid w:val="00404223"/>
    <w:rsid w:val="00404BD7"/>
    <w:rsid w:val="00423664"/>
    <w:rsid w:val="00435465"/>
    <w:rsid w:val="00444292"/>
    <w:rsid w:val="00445B26"/>
    <w:rsid w:val="004550F0"/>
    <w:rsid w:val="00476298"/>
    <w:rsid w:val="004838FC"/>
    <w:rsid w:val="00491379"/>
    <w:rsid w:val="004A2B80"/>
    <w:rsid w:val="004C7C4B"/>
    <w:rsid w:val="004D6613"/>
    <w:rsid w:val="004E3F22"/>
    <w:rsid w:val="004E5DB2"/>
    <w:rsid w:val="004F149C"/>
    <w:rsid w:val="004F68E9"/>
    <w:rsid w:val="005054E3"/>
    <w:rsid w:val="00506CAD"/>
    <w:rsid w:val="005156DB"/>
    <w:rsid w:val="00530D6E"/>
    <w:rsid w:val="00541671"/>
    <w:rsid w:val="00557AD9"/>
    <w:rsid w:val="00562492"/>
    <w:rsid w:val="005965AD"/>
    <w:rsid w:val="005A4351"/>
    <w:rsid w:val="005B4ACC"/>
    <w:rsid w:val="005C68F2"/>
    <w:rsid w:val="005E2CE5"/>
    <w:rsid w:val="005E4428"/>
    <w:rsid w:val="005E58B5"/>
    <w:rsid w:val="005E5C82"/>
    <w:rsid w:val="005F1AED"/>
    <w:rsid w:val="005F2F3F"/>
    <w:rsid w:val="0060132C"/>
    <w:rsid w:val="00603187"/>
    <w:rsid w:val="006168A7"/>
    <w:rsid w:val="00620871"/>
    <w:rsid w:val="00635BA4"/>
    <w:rsid w:val="00641444"/>
    <w:rsid w:val="00641F46"/>
    <w:rsid w:val="00644436"/>
    <w:rsid w:val="00686E08"/>
    <w:rsid w:val="006875A8"/>
    <w:rsid w:val="00690750"/>
    <w:rsid w:val="00692815"/>
    <w:rsid w:val="006C53F3"/>
    <w:rsid w:val="006D02E3"/>
    <w:rsid w:val="006E31A5"/>
    <w:rsid w:val="006E4A80"/>
    <w:rsid w:val="006E5A70"/>
    <w:rsid w:val="007244E4"/>
    <w:rsid w:val="00736240"/>
    <w:rsid w:val="00737FEF"/>
    <w:rsid w:val="00747A63"/>
    <w:rsid w:val="00755466"/>
    <w:rsid w:val="007729D3"/>
    <w:rsid w:val="007862CD"/>
    <w:rsid w:val="00790EEA"/>
    <w:rsid w:val="00794C6D"/>
    <w:rsid w:val="00797342"/>
    <w:rsid w:val="007978F6"/>
    <w:rsid w:val="007D3859"/>
    <w:rsid w:val="007D5C22"/>
    <w:rsid w:val="007D5D7E"/>
    <w:rsid w:val="007F24E6"/>
    <w:rsid w:val="008040CC"/>
    <w:rsid w:val="00807FBB"/>
    <w:rsid w:val="00841D11"/>
    <w:rsid w:val="00846A20"/>
    <w:rsid w:val="00850D0F"/>
    <w:rsid w:val="00854482"/>
    <w:rsid w:val="0086627A"/>
    <w:rsid w:val="0088293B"/>
    <w:rsid w:val="0089081B"/>
    <w:rsid w:val="008C0B5F"/>
    <w:rsid w:val="008D6B69"/>
    <w:rsid w:val="008E3CE6"/>
    <w:rsid w:val="008E3E33"/>
    <w:rsid w:val="00916890"/>
    <w:rsid w:val="009577F2"/>
    <w:rsid w:val="00960A3F"/>
    <w:rsid w:val="009634C5"/>
    <w:rsid w:val="00964082"/>
    <w:rsid w:val="009712FA"/>
    <w:rsid w:val="00996E6C"/>
    <w:rsid w:val="00997F50"/>
    <w:rsid w:val="009A43A1"/>
    <w:rsid w:val="009A57D2"/>
    <w:rsid w:val="009B768B"/>
    <w:rsid w:val="009D647A"/>
    <w:rsid w:val="009E0144"/>
    <w:rsid w:val="00A16C06"/>
    <w:rsid w:val="00A21074"/>
    <w:rsid w:val="00A22D4A"/>
    <w:rsid w:val="00A34BD9"/>
    <w:rsid w:val="00A3702C"/>
    <w:rsid w:val="00A54A0E"/>
    <w:rsid w:val="00A77F86"/>
    <w:rsid w:val="00A81438"/>
    <w:rsid w:val="00A814F7"/>
    <w:rsid w:val="00A97FEE"/>
    <w:rsid w:val="00AA4110"/>
    <w:rsid w:val="00AA50DE"/>
    <w:rsid w:val="00AB08E1"/>
    <w:rsid w:val="00AB7534"/>
    <w:rsid w:val="00AE4A96"/>
    <w:rsid w:val="00B17CF4"/>
    <w:rsid w:val="00B22251"/>
    <w:rsid w:val="00B243C0"/>
    <w:rsid w:val="00B46056"/>
    <w:rsid w:val="00B65CBA"/>
    <w:rsid w:val="00B71697"/>
    <w:rsid w:val="00BA19BD"/>
    <w:rsid w:val="00BB3C7C"/>
    <w:rsid w:val="00BB6856"/>
    <w:rsid w:val="00BC0A76"/>
    <w:rsid w:val="00BD034B"/>
    <w:rsid w:val="00BD3057"/>
    <w:rsid w:val="00BE4AF6"/>
    <w:rsid w:val="00BE5381"/>
    <w:rsid w:val="00BF0A38"/>
    <w:rsid w:val="00C34D86"/>
    <w:rsid w:val="00C36E71"/>
    <w:rsid w:val="00C55E07"/>
    <w:rsid w:val="00CC519B"/>
    <w:rsid w:val="00CC59C6"/>
    <w:rsid w:val="00CE66B3"/>
    <w:rsid w:val="00CF23F7"/>
    <w:rsid w:val="00D023C6"/>
    <w:rsid w:val="00D0501C"/>
    <w:rsid w:val="00D06229"/>
    <w:rsid w:val="00D15298"/>
    <w:rsid w:val="00D26A9C"/>
    <w:rsid w:val="00D341D8"/>
    <w:rsid w:val="00D37EBF"/>
    <w:rsid w:val="00D45F2B"/>
    <w:rsid w:val="00D71BA2"/>
    <w:rsid w:val="00D87E67"/>
    <w:rsid w:val="00DD7E88"/>
    <w:rsid w:val="00DD7EAA"/>
    <w:rsid w:val="00DE5EB3"/>
    <w:rsid w:val="00E002E9"/>
    <w:rsid w:val="00E01536"/>
    <w:rsid w:val="00E1007E"/>
    <w:rsid w:val="00E4060B"/>
    <w:rsid w:val="00E64607"/>
    <w:rsid w:val="00E72D1A"/>
    <w:rsid w:val="00E73B41"/>
    <w:rsid w:val="00E74DCA"/>
    <w:rsid w:val="00E82EB3"/>
    <w:rsid w:val="00E90F88"/>
    <w:rsid w:val="00EA558C"/>
    <w:rsid w:val="00EC01D9"/>
    <w:rsid w:val="00EC1EBE"/>
    <w:rsid w:val="00EC38D0"/>
    <w:rsid w:val="00EC43A7"/>
    <w:rsid w:val="00ED2014"/>
    <w:rsid w:val="00EE31B1"/>
    <w:rsid w:val="00F04095"/>
    <w:rsid w:val="00F25935"/>
    <w:rsid w:val="00F322B2"/>
    <w:rsid w:val="00F329B7"/>
    <w:rsid w:val="00F3304C"/>
    <w:rsid w:val="00F350F8"/>
    <w:rsid w:val="00F40F43"/>
    <w:rsid w:val="00F42C53"/>
    <w:rsid w:val="00F4365D"/>
    <w:rsid w:val="00F43929"/>
    <w:rsid w:val="00F63140"/>
    <w:rsid w:val="00F63A71"/>
    <w:rsid w:val="00F6513A"/>
    <w:rsid w:val="00F6761D"/>
    <w:rsid w:val="00F74570"/>
    <w:rsid w:val="00F90099"/>
    <w:rsid w:val="00F919AA"/>
    <w:rsid w:val="00F934E9"/>
    <w:rsid w:val="00F941C3"/>
    <w:rsid w:val="00FB68EE"/>
    <w:rsid w:val="00FC0E0C"/>
    <w:rsid w:val="00FC38E1"/>
    <w:rsid w:val="00FC39C0"/>
    <w:rsid w:val="00FD1F5F"/>
    <w:rsid w:val="00FD3C93"/>
    <w:rsid w:val="00FD53E1"/>
    <w:rsid w:val="00FF0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D3E94A-F321-4C98-A6A2-CED01BC7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1"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5" w:qFormat="1"/>
    <w:lsdException w:name="Quote" w:uiPriority="30"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2" w:qFormat="1"/>
    <w:lsdException w:name="Subtle Reference" w:uiPriority="32" w:qFormat="1"/>
    <w:lsdException w:name="Intense Reference" w:uiPriority="33"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6875A8"/>
    <w:pPr>
      <w:jc w:val="both"/>
    </w:pPr>
    <w:rPr>
      <w:rFonts w:ascii="Trebuchet MS" w:hAnsi="Trebuchet MS"/>
      <w:w w:val="85"/>
      <w:szCs w:val="24"/>
      <w:lang w:val="nl-BE" w:eastAsia="en-US"/>
    </w:rPr>
  </w:style>
  <w:style w:type="paragraph" w:styleId="Titre1">
    <w:name w:val="heading 1"/>
    <w:basedOn w:val="Normal"/>
    <w:next w:val="Normal"/>
    <w:uiPriority w:val="1"/>
    <w:qFormat/>
    <w:rsid w:val="005A4351"/>
    <w:pPr>
      <w:keepNext/>
      <w:outlineLvl w:val="0"/>
    </w:pPr>
    <w:rPr>
      <w:rFonts w:ascii="Verdana" w:hAnsi="Verdana"/>
      <w:bCs/>
      <w:sz w:val="16"/>
    </w:rPr>
  </w:style>
  <w:style w:type="paragraph" w:styleId="Titre2">
    <w:name w:val="heading 2"/>
    <w:basedOn w:val="Normal"/>
    <w:next w:val="Normal"/>
    <w:uiPriority w:val="1"/>
    <w:qFormat/>
    <w:rsid w:val="005A4351"/>
    <w:pPr>
      <w:keepNext/>
      <w:spacing w:before="240" w:after="60"/>
      <w:outlineLvl w:val="1"/>
    </w:pPr>
    <w:rPr>
      <w:rFonts w:ascii="Verdana" w:hAnsi="Verdana" w:cs="Arial"/>
      <w:b/>
      <w:bCs/>
      <w:iCs/>
      <w:sz w:val="16"/>
      <w:szCs w:val="28"/>
    </w:rPr>
  </w:style>
  <w:style w:type="paragraph" w:styleId="Titre3">
    <w:name w:val="heading 3"/>
    <w:basedOn w:val="Normal"/>
    <w:next w:val="Normal"/>
    <w:uiPriority w:val="1"/>
    <w:qFormat/>
    <w:rsid w:val="00AA50DE"/>
    <w:pPr>
      <w:keepNext/>
      <w:spacing w:before="240" w:after="60"/>
      <w:outlineLvl w:val="2"/>
    </w:pPr>
    <w:rPr>
      <w:rFonts w:ascii="Verdana" w:hAnsi="Verdana" w:cs="Arial"/>
      <w:b/>
      <w:bCs/>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titreNoteSEF">
    <w:name w:val="Intertitre Note SEF"/>
    <w:basedOn w:val="Normal"/>
    <w:next w:val="CorpsdetexteNoteSEF"/>
    <w:qFormat/>
    <w:rsid w:val="00197DF8"/>
    <w:pPr>
      <w:spacing w:after="240"/>
    </w:pPr>
    <w:rPr>
      <w:b/>
      <w:bCs/>
      <w:sz w:val="28"/>
      <w:lang w:val="fr-BE"/>
    </w:rPr>
  </w:style>
  <w:style w:type="paragraph" w:customStyle="1" w:styleId="TitreNoteSEF">
    <w:name w:val="Titre Note SEF"/>
    <w:basedOn w:val="Normal"/>
    <w:next w:val="CorpsdetexteNoteSEF"/>
    <w:qFormat/>
    <w:rsid w:val="00620871"/>
    <w:pPr>
      <w:spacing w:after="320"/>
    </w:pPr>
    <w:rPr>
      <w:b/>
      <w:bCs/>
      <w:color w:val="0070C0"/>
      <w:sz w:val="22"/>
      <w:szCs w:val="20"/>
    </w:rPr>
  </w:style>
  <w:style w:type="paragraph" w:customStyle="1" w:styleId="Service">
    <w:name w:val="Service"/>
    <w:basedOn w:val="Normal"/>
    <w:next w:val="Normal"/>
    <w:uiPriority w:val="1"/>
    <w:qFormat/>
    <w:rsid w:val="00197DF8"/>
    <w:rPr>
      <w:sz w:val="28"/>
      <w:szCs w:val="28"/>
      <w:lang w:val="fr-BE"/>
    </w:rPr>
  </w:style>
  <w:style w:type="paragraph" w:customStyle="1" w:styleId="TypeDocument">
    <w:name w:val="Type Document"/>
    <w:basedOn w:val="Normal"/>
    <w:next w:val="Service"/>
    <w:uiPriority w:val="1"/>
    <w:qFormat/>
    <w:rsid w:val="00197DF8"/>
    <w:rPr>
      <w:noProof/>
      <w:spacing w:val="20"/>
      <w:sz w:val="40"/>
      <w:szCs w:val="40"/>
    </w:rPr>
  </w:style>
  <w:style w:type="paragraph" w:customStyle="1" w:styleId="CorpsdetexteNoteSEF">
    <w:name w:val="Corps de texte Note SEF"/>
    <w:basedOn w:val="Normal"/>
    <w:qFormat/>
    <w:rsid w:val="00392FF0"/>
    <w:pPr>
      <w:spacing w:after="200"/>
    </w:pPr>
    <w:rPr>
      <w:sz w:val="22"/>
      <w:lang w:val="fr-BE"/>
    </w:rPr>
  </w:style>
  <w:style w:type="paragraph" w:styleId="En-tte">
    <w:name w:val="header"/>
    <w:basedOn w:val="Normal"/>
    <w:link w:val="En-tteCar"/>
    <w:uiPriority w:val="1"/>
    <w:rsid w:val="007978F6"/>
    <w:pPr>
      <w:tabs>
        <w:tab w:val="center" w:pos="4513"/>
        <w:tab w:val="right" w:pos="9026"/>
      </w:tabs>
    </w:pPr>
  </w:style>
  <w:style w:type="character" w:customStyle="1" w:styleId="En-tteCar">
    <w:name w:val="En-tête Car"/>
    <w:basedOn w:val="Policepardfaut"/>
    <w:link w:val="En-tte"/>
    <w:uiPriority w:val="1"/>
    <w:rsid w:val="006875A8"/>
    <w:rPr>
      <w:rFonts w:ascii="Trebuchet MS" w:hAnsi="Trebuchet MS"/>
      <w:w w:val="85"/>
      <w:szCs w:val="24"/>
      <w:lang w:val="nl-BE" w:eastAsia="en-US"/>
    </w:rPr>
  </w:style>
  <w:style w:type="paragraph" w:styleId="Pieddepage">
    <w:name w:val="footer"/>
    <w:basedOn w:val="Normal"/>
    <w:link w:val="PieddepageCar"/>
    <w:uiPriority w:val="1"/>
    <w:rsid w:val="007978F6"/>
    <w:pPr>
      <w:tabs>
        <w:tab w:val="center" w:pos="4513"/>
        <w:tab w:val="right" w:pos="9026"/>
      </w:tabs>
    </w:pPr>
  </w:style>
  <w:style w:type="character" w:customStyle="1" w:styleId="PieddepageCar">
    <w:name w:val="Pied de page Car"/>
    <w:basedOn w:val="Policepardfaut"/>
    <w:link w:val="Pieddepage"/>
    <w:uiPriority w:val="1"/>
    <w:rsid w:val="006875A8"/>
    <w:rPr>
      <w:rFonts w:ascii="Trebuchet MS" w:hAnsi="Trebuchet MS"/>
      <w:w w:val="85"/>
      <w:szCs w:val="24"/>
      <w:lang w:val="nl-BE" w:eastAsia="en-US"/>
    </w:rPr>
  </w:style>
  <w:style w:type="character" w:styleId="Lienhypertexte">
    <w:name w:val="Hyperlink"/>
    <w:basedOn w:val="Policepardfaut"/>
    <w:uiPriority w:val="1"/>
    <w:rsid w:val="00F919AA"/>
    <w:rPr>
      <w:color w:val="0000FF"/>
      <w:u w:val="single"/>
    </w:rPr>
  </w:style>
  <w:style w:type="paragraph" w:customStyle="1" w:styleId="Corpsdetextesansinterligne">
    <w:name w:val="Corps de texte sans interligne"/>
    <w:basedOn w:val="CorpsdetexteNoteSEF"/>
    <w:uiPriority w:val="1"/>
    <w:qFormat/>
    <w:rsid w:val="00365576"/>
    <w:pPr>
      <w:spacing w:after="0"/>
    </w:pPr>
  </w:style>
  <w:style w:type="table" w:styleId="Grilledutableau">
    <w:name w:val="Table Grid"/>
    <w:basedOn w:val="TableauNormal"/>
    <w:rsid w:val="00E82E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5"/>
    <w:qFormat/>
    <w:rsid w:val="004838FC"/>
    <w:pPr>
      <w:ind w:left="720"/>
      <w:contextualSpacing/>
    </w:pPr>
  </w:style>
  <w:style w:type="character" w:styleId="Rfrenceintense">
    <w:name w:val="Intense Reference"/>
    <w:basedOn w:val="Policepardfaut"/>
    <w:uiPriority w:val="33"/>
    <w:qFormat/>
    <w:rsid w:val="008D6B69"/>
    <w:rPr>
      <w:b/>
      <w:bCs/>
      <w:smallCaps/>
      <w:color w:val="C0504D" w:themeColor="accent2"/>
      <w:spacing w:val="5"/>
      <w:u w:val="single"/>
    </w:rPr>
  </w:style>
  <w:style w:type="paragraph" w:styleId="Citationintense">
    <w:name w:val="Intense Quote"/>
    <w:basedOn w:val="Normal"/>
    <w:next w:val="Normal"/>
    <w:link w:val="CitationintenseCar"/>
    <w:uiPriority w:val="31"/>
    <w:qFormat/>
    <w:rsid w:val="008D6B6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1"/>
    <w:rsid w:val="008D6B69"/>
    <w:rPr>
      <w:rFonts w:ascii="Trebuchet MS" w:hAnsi="Trebuchet MS"/>
      <w:b/>
      <w:bCs/>
      <w:i/>
      <w:iCs/>
      <w:color w:val="4F81BD" w:themeColor="accent1"/>
      <w:w w:val="85"/>
      <w:szCs w:val="24"/>
      <w:lang w:val="nl-BE" w:eastAsia="en-US"/>
    </w:rPr>
  </w:style>
  <w:style w:type="character" w:styleId="Rfrenceple">
    <w:name w:val="Subtle Reference"/>
    <w:basedOn w:val="Policepardfaut"/>
    <w:uiPriority w:val="32"/>
    <w:qFormat/>
    <w:rsid w:val="00C36E71"/>
    <w:rPr>
      <w:smallCaps/>
      <w:color w:val="C0504D" w:themeColor="accent2"/>
      <w:u w:val="single"/>
    </w:rPr>
  </w:style>
  <w:style w:type="character" w:styleId="Emphaseple">
    <w:name w:val="Subtle Emphasis"/>
    <w:basedOn w:val="Policepardfaut"/>
    <w:uiPriority w:val="20"/>
    <w:qFormat/>
    <w:rsid w:val="00AA50DE"/>
    <w:rPr>
      <w:i/>
      <w:iCs/>
      <w:color w:val="808080" w:themeColor="text1" w:themeTint="7F"/>
    </w:rPr>
  </w:style>
  <w:style w:type="character" w:styleId="Titredulivre">
    <w:name w:val="Book Title"/>
    <w:basedOn w:val="Policepardfaut"/>
    <w:uiPriority w:val="34"/>
    <w:qFormat/>
    <w:rsid w:val="000D6D3C"/>
    <w:rPr>
      <w:rFonts w:ascii="Verdana" w:hAnsi="Verdana"/>
      <w:b/>
      <w:bCs/>
      <w:smallCaps/>
      <w:spacing w:val="5"/>
      <w:sz w:val="16"/>
      <w:u w:val="single"/>
    </w:rPr>
  </w:style>
  <w:style w:type="paragraph" w:styleId="Textedebulles">
    <w:name w:val="Balloon Text"/>
    <w:basedOn w:val="Normal"/>
    <w:link w:val="TextedebullesCar"/>
    <w:uiPriority w:val="1"/>
    <w:rsid w:val="00F25935"/>
    <w:rPr>
      <w:rFonts w:ascii="Tahoma" w:hAnsi="Tahoma" w:cs="Tahoma"/>
      <w:sz w:val="16"/>
      <w:szCs w:val="16"/>
    </w:rPr>
  </w:style>
  <w:style w:type="character" w:customStyle="1" w:styleId="TextedebullesCar">
    <w:name w:val="Texte de bulles Car"/>
    <w:basedOn w:val="Policepardfaut"/>
    <w:link w:val="Textedebulles"/>
    <w:uiPriority w:val="1"/>
    <w:rsid w:val="00F25935"/>
    <w:rPr>
      <w:rFonts w:ascii="Tahoma" w:hAnsi="Tahoma" w:cs="Tahoma"/>
      <w:w w:val="85"/>
      <w:sz w:val="16"/>
      <w:szCs w:val="16"/>
      <w:lang w:val="nl-BE" w:eastAsia="en-US"/>
    </w:rPr>
  </w:style>
  <w:style w:type="paragraph" w:styleId="Citation">
    <w:name w:val="Quote"/>
    <w:basedOn w:val="Normal"/>
    <w:next w:val="Normal"/>
    <w:link w:val="CitationCar"/>
    <w:uiPriority w:val="30"/>
    <w:qFormat/>
    <w:rsid w:val="00444292"/>
    <w:rPr>
      <w:i/>
      <w:iCs/>
      <w:color w:val="000000" w:themeColor="text1"/>
    </w:rPr>
  </w:style>
  <w:style w:type="character" w:customStyle="1" w:styleId="CitationCar">
    <w:name w:val="Citation Car"/>
    <w:basedOn w:val="Policepardfaut"/>
    <w:link w:val="Citation"/>
    <w:uiPriority w:val="30"/>
    <w:rsid w:val="00444292"/>
    <w:rPr>
      <w:rFonts w:ascii="Trebuchet MS" w:hAnsi="Trebuchet MS"/>
      <w:i/>
      <w:iCs/>
      <w:color w:val="000000" w:themeColor="text1"/>
      <w:w w:val="85"/>
      <w:szCs w:val="24"/>
      <w:lang w:val="nl-BE" w:eastAsia="en-US"/>
    </w:rPr>
  </w:style>
  <w:style w:type="paragraph" w:styleId="Sansinterligne">
    <w:name w:val="No Spacing"/>
    <w:uiPriority w:val="2"/>
    <w:qFormat/>
    <w:rsid w:val="00444292"/>
    <w:pPr>
      <w:jc w:val="both"/>
    </w:pPr>
    <w:rPr>
      <w:rFonts w:ascii="Trebuchet MS" w:hAnsi="Trebuchet MS"/>
      <w:i/>
      <w:w w:val="85"/>
      <w:sz w:val="22"/>
      <w:szCs w:val="24"/>
      <w:lang w:val="nl-BE" w:eastAsia="en-US"/>
    </w:rPr>
  </w:style>
  <w:style w:type="paragraph" w:styleId="Notedebasdepage">
    <w:name w:val="footnote text"/>
    <w:basedOn w:val="Normal"/>
    <w:link w:val="NotedebasdepageCar"/>
    <w:uiPriority w:val="1"/>
    <w:semiHidden/>
    <w:unhideWhenUsed/>
    <w:rsid w:val="00F43929"/>
    <w:rPr>
      <w:szCs w:val="20"/>
    </w:rPr>
  </w:style>
  <w:style w:type="character" w:customStyle="1" w:styleId="NotedebasdepageCar">
    <w:name w:val="Note de bas de page Car"/>
    <w:basedOn w:val="Policepardfaut"/>
    <w:link w:val="Notedebasdepage"/>
    <w:uiPriority w:val="1"/>
    <w:semiHidden/>
    <w:rsid w:val="00F43929"/>
    <w:rPr>
      <w:rFonts w:ascii="Trebuchet MS" w:hAnsi="Trebuchet MS"/>
      <w:w w:val="85"/>
      <w:lang w:val="nl-BE" w:eastAsia="en-US"/>
    </w:rPr>
  </w:style>
  <w:style w:type="character" w:styleId="Appelnotedebasdep">
    <w:name w:val="footnote reference"/>
    <w:basedOn w:val="Policepardfaut"/>
    <w:uiPriority w:val="1"/>
    <w:semiHidden/>
    <w:unhideWhenUsed/>
    <w:rsid w:val="00F43929"/>
    <w:rPr>
      <w:vertAlign w:val="superscript"/>
    </w:rPr>
  </w:style>
  <w:style w:type="character" w:customStyle="1" w:styleId="msoins0">
    <w:name w:val="msoins"/>
    <w:basedOn w:val="Policepardfaut"/>
    <w:rsid w:val="002B1C87"/>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99968">
      <w:bodyDiv w:val="1"/>
      <w:marLeft w:val="0"/>
      <w:marRight w:val="0"/>
      <w:marTop w:val="0"/>
      <w:marBottom w:val="0"/>
      <w:divBdr>
        <w:top w:val="none" w:sz="0" w:space="0" w:color="auto"/>
        <w:left w:val="none" w:sz="0" w:space="0" w:color="auto"/>
        <w:bottom w:val="none" w:sz="0" w:space="0" w:color="auto"/>
        <w:right w:val="none" w:sz="0" w:space="0" w:color="auto"/>
      </w:divBdr>
    </w:div>
    <w:div w:id="6041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50elb\Desktop\Note%20SE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6430-8D94-4C82-BC68-833385DA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SEF</Template>
  <TotalTime>212</TotalTime>
  <Pages>7</Pages>
  <Words>2037</Words>
  <Characters>11616</Characters>
  <Application>Microsoft Office Word</Application>
  <DocSecurity>0</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Note SEF</vt:lpstr>
      <vt:lpstr>Dienst</vt:lpstr>
    </vt:vector>
  </TitlesOfParts>
  <Company>CNE</Company>
  <LinksUpToDate>false</LinksUpToDate>
  <CharactersWithSpaces>13626</CharactersWithSpaces>
  <SharedDoc>false</SharedDoc>
  <HLinks>
    <vt:vector size="6" baseType="variant">
      <vt:variant>
        <vt:i4>6553654</vt:i4>
      </vt:variant>
      <vt:variant>
        <vt:i4>6</vt:i4>
      </vt:variant>
      <vt:variant>
        <vt:i4>0</vt:i4>
      </vt:variant>
      <vt:variant>
        <vt:i4>5</vt:i4>
      </vt:variant>
      <vt:variant>
        <vt:lpwstr>http://www.cne-gnc.be/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SEF</dc:title>
  <dc:creator>Etienne Lebeau</dc:creator>
  <cp:lastModifiedBy>Etienne Lebeau</cp:lastModifiedBy>
  <cp:revision>15</cp:revision>
  <cp:lastPrinted>2012-01-19T10:27:00Z</cp:lastPrinted>
  <dcterms:created xsi:type="dcterms:W3CDTF">2016-10-08T11:09:00Z</dcterms:created>
  <dcterms:modified xsi:type="dcterms:W3CDTF">2016-10-11T12:51:00Z</dcterms:modified>
</cp:coreProperties>
</file>