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B590D" w14:textId="25E1CFD9" w:rsidR="00D53B37" w:rsidRPr="00BC6E89" w:rsidRDefault="00D53B37" w:rsidP="00421E0A">
      <w:pPr>
        <w:widowControl w:val="0"/>
        <w:autoSpaceDE w:val="0"/>
        <w:autoSpaceDN w:val="0"/>
        <w:adjustRightInd w:val="0"/>
        <w:rPr>
          <w:rFonts w:ascii="Verdana" w:hAnsi="Verdana" w:cs="Tahoma"/>
          <w:sz w:val="22"/>
          <w:szCs w:val="22"/>
          <w:lang w:val="fr-FR"/>
        </w:rPr>
      </w:pPr>
      <w:r w:rsidRPr="00BC6E89">
        <w:rPr>
          <w:rFonts w:ascii="Verdana" w:hAnsi="Verdana" w:cs="Tahoma"/>
          <w:sz w:val="22"/>
          <w:szCs w:val="22"/>
          <w:lang w:val="fr-FR"/>
        </w:rPr>
        <w:t>6 octobre 2016</w:t>
      </w:r>
    </w:p>
    <w:p w14:paraId="25026E5A" w14:textId="77777777" w:rsidR="00D53B37" w:rsidRPr="00BC6E89" w:rsidRDefault="00D53B37" w:rsidP="00421E0A">
      <w:pPr>
        <w:widowControl w:val="0"/>
        <w:autoSpaceDE w:val="0"/>
        <w:autoSpaceDN w:val="0"/>
        <w:adjustRightInd w:val="0"/>
        <w:rPr>
          <w:rFonts w:ascii="Verdana" w:hAnsi="Verdana" w:cs="Tahoma"/>
          <w:sz w:val="22"/>
          <w:szCs w:val="22"/>
          <w:lang w:val="fr-FR"/>
        </w:rPr>
      </w:pPr>
    </w:p>
    <w:p w14:paraId="695033CE" w14:textId="4BD1FDB0" w:rsidR="00D53B37" w:rsidRPr="00BC6E89" w:rsidRDefault="00D53B37" w:rsidP="00D53B37">
      <w:pPr>
        <w:widowControl w:val="0"/>
        <w:autoSpaceDE w:val="0"/>
        <w:autoSpaceDN w:val="0"/>
        <w:adjustRightInd w:val="0"/>
        <w:jc w:val="center"/>
        <w:rPr>
          <w:rFonts w:ascii="Verdana" w:hAnsi="Verdana" w:cs="Tahoma"/>
          <w:b/>
          <w:szCs w:val="22"/>
          <w:lang w:val="fr-FR"/>
        </w:rPr>
      </w:pPr>
      <w:r w:rsidRPr="00BC6E89">
        <w:rPr>
          <w:rFonts w:ascii="Verdana" w:hAnsi="Verdana" w:cs="Tahoma"/>
          <w:b/>
          <w:szCs w:val="22"/>
          <w:lang w:val="fr-FR"/>
        </w:rPr>
        <w:t>Eléments d’analyse et propositions d’amendements concernant</w:t>
      </w:r>
    </w:p>
    <w:p w14:paraId="0C69A455" w14:textId="58B85AFB" w:rsidR="00D53B37" w:rsidRPr="00BC6E89" w:rsidRDefault="00D53B37" w:rsidP="00D53B37">
      <w:pPr>
        <w:widowControl w:val="0"/>
        <w:autoSpaceDE w:val="0"/>
        <w:autoSpaceDN w:val="0"/>
        <w:adjustRightInd w:val="0"/>
        <w:jc w:val="center"/>
        <w:rPr>
          <w:rFonts w:ascii="Verdana" w:hAnsi="Verdana" w:cs="Tahoma"/>
          <w:b/>
          <w:szCs w:val="22"/>
          <w:lang w:val="fr-FR"/>
        </w:rPr>
      </w:pPr>
      <w:r w:rsidRPr="00BC6E89">
        <w:rPr>
          <w:rFonts w:ascii="Verdana" w:hAnsi="Verdana" w:cs="Tahoma"/>
          <w:b/>
          <w:szCs w:val="22"/>
          <w:lang w:val="fr-FR"/>
        </w:rPr>
        <w:t>La « joint interpretative declaration on CETA » FINAL DRAFT</w:t>
      </w:r>
    </w:p>
    <w:p w14:paraId="0A742CA8" w14:textId="77777777" w:rsidR="00D53B37" w:rsidRPr="00BC6E89" w:rsidRDefault="00D53B37" w:rsidP="00421E0A">
      <w:pPr>
        <w:widowControl w:val="0"/>
        <w:autoSpaceDE w:val="0"/>
        <w:autoSpaceDN w:val="0"/>
        <w:adjustRightInd w:val="0"/>
        <w:rPr>
          <w:rFonts w:ascii="Verdana" w:hAnsi="Verdana" w:cs="Tahoma"/>
          <w:sz w:val="22"/>
          <w:szCs w:val="22"/>
          <w:lang w:val="fr-FR"/>
        </w:rPr>
      </w:pPr>
    </w:p>
    <w:p w14:paraId="4D8FBBC3" w14:textId="2C7B2200" w:rsidR="00C80FF2" w:rsidRPr="006C21D0" w:rsidRDefault="00421E0A" w:rsidP="00421E0A">
      <w:pPr>
        <w:widowControl w:val="0"/>
        <w:autoSpaceDE w:val="0"/>
        <w:autoSpaceDN w:val="0"/>
        <w:adjustRightInd w:val="0"/>
        <w:rPr>
          <w:rFonts w:ascii="Verdana" w:hAnsi="Verdana" w:cs="Helvetica"/>
          <w:sz w:val="22"/>
          <w:szCs w:val="22"/>
          <w:lang w:val="fr-FR"/>
        </w:rPr>
      </w:pPr>
      <w:r w:rsidRPr="00BC6E89">
        <w:rPr>
          <w:rFonts w:ascii="Verdana" w:hAnsi="Verdana" w:cs="Tahoma"/>
          <w:sz w:val="22"/>
          <w:szCs w:val="22"/>
          <w:lang w:val="fr-FR"/>
        </w:rPr>
        <w:t xml:space="preserve">Sur base des informations disponibles </w:t>
      </w:r>
      <w:r w:rsidR="00D53B37" w:rsidRPr="00BC6E89">
        <w:rPr>
          <w:rFonts w:ascii="Verdana" w:hAnsi="Verdana" w:cs="Tahoma"/>
          <w:sz w:val="22"/>
          <w:szCs w:val="22"/>
          <w:lang w:val="fr-FR"/>
        </w:rPr>
        <w:t xml:space="preserve">concernant </w:t>
      </w:r>
      <w:r w:rsidRPr="00BC6E89">
        <w:rPr>
          <w:rFonts w:ascii="Verdana" w:hAnsi="Verdana" w:cs="Tahoma"/>
          <w:sz w:val="22"/>
          <w:szCs w:val="22"/>
          <w:lang w:val="fr-FR"/>
        </w:rPr>
        <w:t>la « interpretative declaration » du CETA</w:t>
      </w:r>
      <w:r w:rsidR="00AC6602" w:rsidRPr="00BC6E89">
        <w:rPr>
          <w:rStyle w:val="Appelnotedebasdep"/>
          <w:rFonts w:ascii="Verdana" w:hAnsi="Verdana" w:cs="Tahoma"/>
          <w:sz w:val="22"/>
          <w:szCs w:val="22"/>
          <w:lang w:val="fr-FR"/>
        </w:rPr>
        <w:footnoteReference w:id="1"/>
      </w:r>
      <w:r w:rsidRPr="00BC6E89">
        <w:rPr>
          <w:rFonts w:ascii="Verdana" w:hAnsi="Verdana" w:cs="Tahoma"/>
          <w:sz w:val="22"/>
          <w:szCs w:val="22"/>
          <w:lang w:val="fr-FR"/>
        </w:rPr>
        <w:t>, voici quelques éléments d’analyse.</w:t>
      </w:r>
    </w:p>
    <w:sdt>
      <w:sdtPr>
        <w:rPr>
          <w:lang w:val="fr-FR"/>
        </w:rPr>
        <w:id w:val="-1760758119"/>
        <w:docPartObj>
          <w:docPartGallery w:val="Table of Contents"/>
          <w:docPartUnique/>
        </w:docPartObj>
      </w:sdtPr>
      <w:sdtEndPr>
        <w:rPr>
          <w:rFonts w:asciiTheme="minorHAnsi" w:eastAsiaTheme="minorEastAsia" w:hAnsiTheme="minorHAnsi" w:cstheme="minorBidi"/>
          <w:noProof/>
          <w:color w:val="auto"/>
          <w:sz w:val="24"/>
          <w:szCs w:val="24"/>
          <w:lang w:val="fr-BE"/>
        </w:rPr>
      </w:sdtEndPr>
      <w:sdtContent>
        <w:p w14:paraId="506FF02C" w14:textId="34D431C6" w:rsidR="006C21D0" w:rsidRDefault="006C21D0">
          <w:pPr>
            <w:pStyle w:val="En-ttedetabledesmatires"/>
          </w:pPr>
          <w:r>
            <w:rPr>
              <w:lang w:val="fr-FR"/>
            </w:rPr>
            <w:t>Table des matières</w:t>
          </w:r>
        </w:p>
        <w:p w14:paraId="118F8324" w14:textId="77777777" w:rsidR="006C21D0" w:rsidRDefault="006C21D0">
          <w:pPr>
            <w:pStyle w:val="TM1"/>
            <w:tabs>
              <w:tab w:val="right" w:leader="dot" w:pos="9396"/>
            </w:tabs>
            <w:rPr>
              <w:rFonts w:asciiTheme="minorHAnsi" w:hAnsiTheme="minorHAnsi"/>
              <w:b w:val="0"/>
              <w:noProof/>
              <w:color w:val="auto"/>
              <w:lang w:eastAsia="ja-JP"/>
            </w:rPr>
          </w:pPr>
          <w:r>
            <w:fldChar w:fldCharType="begin"/>
          </w:r>
          <w:r>
            <w:instrText xml:space="preserve"> TOC \t "Titre 1;2;Titre 2;3;Titre 3;4;Titre;1" </w:instrText>
          </w:r>
          <w:r>
            <w:fldChar w:fldCharType="separate"/>
          </w:r>
          <w:r>
            <w:rPr>
              <w:noProof/>
            </w:rPr>
            <w:t>Considérations générales</w:t>
          </w:r>
          <w:r>
            <w:rPr>
              <w:noProof/>
            </w:rPr>
            <w:tab/>
          </w:r>
          <w:r>
            <w:rPr>
              <w:noProof/>
            </w:rPr>
            <w:fldChar w:fldCharType="begin"/>
          </w:r>
          <w:r>
            <w:rPr>
              <w:noProof/>
            </w:rPr>
            <w:instrText xml:space="preserve"> PAGEREF _Toc463603258 \h </w:instrText>
          </w:r>
          <w:r>
            <w:rPr>
              <w:noProof/>
            </w:rPr>
          </w:r>
          <w:r>
            <w:rPr>
              <w:noProof/>
            </w:rPr>
            <w:fldChar w:fldCharType="separate"/>
          </w:r>
          <w:r>
            <w:rPr>
              <w:noProof/>
            </w:rPr>
            <w:t>1</w:t>
          </w:r>
          <w:r>
            <w:rPr>
              <w:noProof/>
            </w:rPr>
            <w:fldChar w:fldCharType="end"/>
          </w:r>
        </w:p>
        <w:p w14:paraId="49A6C0F0" w14:textId="77777777" w:rsidR="006C21D0" w:rsidRDefault="006C21D0">
          <w:pPr>
            <w:pStyle w:val="TM1"/>
            <w:tabs>
              <w:tab w:val="right" w:leader="dot" w:pos="9396"/>
            </w:tabs>
            <w:rPr>
              <w:rFonts w:asciiTheme="minorHAnsi" w:hAnsiTheme="minorHAnsi"/>
              <w:b w:val="0"/>
              <w:noProof/>
              <w:color w:val="auto"/>
              <w:lang w:eastAsia="ja-JP"/>
            </w:rPr>
          </w:pPr>
          <w:r>
            <w:rPr>
              <w:noProof/>
            </w:rPr>
            <w:t>Ce qui ne se trouve pas dans cette déclaration</w:t>
          </w:r>
          <w:r>
            <w:rPr>
              <w:noProof/>
            </w:rPr>
            <w:tab/>
          </w:r>
          <w:r>
            <w:rPr>
              <w:noProof/>
            </w:rPr>
            <w:fldChar w:fldCharType="begin"/>
          </w:r>
          <w:r>
            <w:rPr>
              <w:noProof/>
            </w:rPr>
            <w:instrText xml:space="preserve"> PAGEREF _Toc463603259 \h </w:instrText>
          </w:r>
          <w:r>
            <w:rPr>
              <w:noProof/>
            </w:rPr>
          </w:r>
          <w:r>
            <w:rPr>
              <w:noProof/>
            </w:rPr>
            <w:fldChar w:fldCharType="separate"/>
          </w:r>
          <w:r>
            <w:rPr>
              <w:noProof/>
            </w:rPr>
            <w:t>4</w:t>
          </w:r>
          <w:r>
            <w:rPr>
              <w:noProof/>
            </w:rPr>
            <w:fldChar w:fldCharType="end"/>
          </w:r>
        </w:p>
        <w:p w14:paraId="1D448E42" w14:textId="77777777" w:rsidR="006C21D0" w:rsidRDefault="006C21D0">
          <w:pPr>
            <w:pStyle w:val="TM2"/>
            <w:tabs>
              <w:tab w:val="right" w:leader="dot" w:pos="9396"/>
            </w:tabs>
            <w:rPr>
              <w:noProof/>
              <w:sz w:val="24"/>
              <w:szCs w:val="24"/>
              <w:lang w:eastAsia="ja-JP"/>
            </w:rPr>
          </w:pPr>
          <w:r w:rsidRPr="00DD1412">
            <w:rPr>
              <w:noProof/>
              <w:lang w:val="fr-FR"/>
            </w:rPr>
            <w:t>Principe de précaution</w:t>
          </w:r>
          <w:r>
            <w:rPr>
              <w:noProof/>
            </w:rPr>
            <w:tab/>
          </w:r>
          <w:r>
            <w:rPr>
              <w:noProof/>
            </w:rPr>
            <w:fldChar w:fldCharType="begin"/>
          </w:r>
          <w:r>
            <w:rPr>
              <w:noProof/>
            </w:rPr>
            <w:instrText xml:space="preserve"> PAGEREF _Toc463603260 \h </w:instrText>
          </w:r>
          <w:r>
            <w:rPr>
              <w:noProof/>
            </w:rPr>
          </w:r>
          <w:r>
            <w:rPr>
              <w:noProof/>
            </w:rPr>
            <w:fldChar w:fldCharType="separate"/>
          </w:r>
          <w:r>
            <w:rPr>
              <w:noProof/>
            </w:rPr>
            <w:t>4</w:t>
          </w:r>
          <w:r>
            <w:rPr>
              <w:noProof/>
            </w:rPr>
            <w:fldChar w:fldCharType="end"/>
          </w:r>
        </w:p>
        <w:p w14:paraId="6A122FFF" w14:textId="77777777" w:rsidR="006C21D0" w:rsidRDefault="006C21D0">
          <w:pPr>
            <w:pStyle w:val="TM2"/>
            <w:tabs>
              <w:tab w:val="right" w:leader="dot" w:pos="9396"/>
            </w:tabs>
            <w:rPr>
              <w:noProof/>
              <w:sz w:val="24"/>
              <w:szCs w:val="24"/>
              <w:lang w:eastAsia="ja-JP"/>
            </w:rPr>
          </w:pPr>
          <w:r w:rsidRPr="00DD1412">
            <w:rPr>
              <w:noProof/>
              <w:lang w:val="fr-FR"/>
            </w:rPr>
            <w:t>Protection contre les crises financières</w:t>
          </w:r>
          <w:r>
            <w:rPr>
              <w:noProof/>
            </w:rPr>
            <w:tab/>
          </w:r>
          <w:r>
            <w:rPr>
              <w:noProof/>
            </w:rPr>
            <w:fldChar w:fldCharType="begin"/>
          </w:r>
          <w:r>
            <w:rPr>
              <w:noProof/>
            </w:rPr>
            <w:instrText xml:space="preserve"> PAGEREF _Toc463603261 \h </w:instrText>
          </w:r>
          <w:r>
            <w:rPr>
              <w:noProof/>
            </w:rPr>
          </w:r>
          <w:r>
            <w:rPr>
              <w:noProof/>
            </w:rPr>
            <w:fldChar w:fldCharType="separate"/>
          </w:r>
          <w:r>
            <w:rPr>
              <w:noProof/>
            </w:rPr>
            <w:t>5</w:t>
          </w:r>
          <w:r>
            <w:rPr>
              <w:noProof/>
            </w:rPr>
            <w:fldChar w:fldCharType="end"/>
          </w:r>
        </w:p>
        <w:p w14:paraId="56C8486A" w14:textId="77777777" w:rsidR="006C21D0" w:rsidRDefault="006C21D0">
          <w:pPr>
            <w:pStyle w:val="TM2"/>
            <w:tabs>
              <w:tab w:val="right" w:leader="dot" w:pos="9396"/>
            </w:tabs>
            <w:rPr>
              <w:noProof/>
              <w:sz w:val="24"/>
              <w:szCs w:val="24"/>
              <w:lang w:eastAsia="ja-JP"/>
            </w:rPr>
          </w:pPr>
          <w:r w:rsidRPr="00DD1412">
            <w:rPr>
              <w:noProof/>
              <w:lang w:val="fr-FR"/>
            </w:rPr>
            <w:t>Protection des données personnelles en ligne</w:t>
          </w:r>
          <w:r>
            <w:rPr>
              <w:noProof/>
            </w:rPr>
            <w:tab/>
          </w:r>
          <w:r>
            <w:rPr>
              <w:noProof/>
            </w:rPr>
            <w:fldChar w:fldCharType="begin"/>
          </w:r>
          <w:r>
            <w:rPr>
              <w:noProof/>
            </w:rPr>
            <w:instrText xml:space="preserve"> PAGEREF _Toc463603262 \h </w:instrText>
          </w:r>
          <w:r>
            <w:rPr>
              <w:noProof/>
            </w:rPr>
          </w:r>
          <w:r>
            <w:rPr>
              <w:noProof/>
            </w:rPr>
            <w:fldChar w:fldCharType="separate"/>
          </w:r>
          <w:r>
            <w:rPr>
              <w:noProof/>
            </w:rPr>
            <w:t>6</w:t>
          </w:r>
          <w:r>
            <w:rPr>
              <w:noProof/>
            </w:rPr>
            <w:fldChar w:fldCharType="end"/>
          </w:r>
        </w:p>
        <w:p w14:paraId="5C8EF13C" w14:textId="77777777" w:rsidR="006C21D0" w:rsidRDefault="006C21D0">
          <w:pPr>
            <w:pStyle w:val="TM2"/>
            <w:tabs>
              <w:tab w:val="right" w:leader="dot" w:pos="9396"/>
            </w:tabs>
            <w:rPr>
              <w:noProof/>
              <w:sz w:val="24"/>
              <w:szCs w:val="24"/>
              <w:lang w:eastAsia="ja-JP"/>
            </w:rPr>
          </w:pPr>
          <w:r w:rsidRPr="00DD1412">
            <w:rPr>
              <w:noProof/>
              <w:lang w:val="fr-FR"/>
            </w:rPr>
            <w:t>Exception agricole et inondation de viande canadienne</w:t>
          </w:r>
          <w:r>
            <w:rPr>
              <w:noProof/>
            </w:rPr>
            <w:tab/>
          </w:r>
          <w:r>
            <w:rPr>
              <w:noProof/>
            </w:rPr>
            <w:fldChar w:fldCharType="begin"/>
          </w:r>
          <w:r>
            <w:rPr>
              <w:noProof/>
            </w:rPr>
            <w:instrText xml:space="preserve"> PAGEREF _Toc463603263 \h </w:instrText>
          </w:r>
          <w:r>
            <w:rPr>
              <w:noProof/>
            </w:rPr>
          </w:r>
          <w:r>
            <w:rPr>
              <w:noProof/>
            </w:rPr>
            <w:fldChar w:fldCharType="separate"/>
          </w:r>
          <w:r>
            <w:rPr>
              <w:noProof/>
            </w:rPr>
            <w:t>7</w:t>
          </w:r>
          <w:r>
            <w:rPr>
              <w:noProof/>
            </w:rPr>
            <w:fldChar w:fldCharType="end"/>
          </w:r>
        </w:p>
        <w:p w14:paraId="72C965C2" w14:textId="77777777" w:rsidR="006C21D0" w:rsidRDefault="006C21D0">
          <w:pPr>
            <w:pStyle w:val="TM1"/>
            <w:tabs>
              <w:tab w:val="right" w:leader="dot" w:pos="9396"/>
            </w:tabs>
            <w:rPr>
              <w:rFonts w:asciiTheme="minorHAnsi" w:hAnsiTheme="minorHAnsi"/>
              <w:b w:val="0"/>
              <w:noProof/>
              <w:color w:val="auto"/>
              <w:lang w:eastAsia="ja-JP"/>
            </w:rPr>
          </w:pPr>
          <w:r>
            <w:rPr>
              <w:noProof/>
            </w:rPr>
            <w:t>Analyse point par point de la déclaration</w:t>
          </w:r>
          <w:r>
            <w:rPr>
              <w:noProof/>
            </w:rPr>
            <w:tab/>
          </w:r>
          <w:r>
            <w:rPr>
              <w:noProof/>
            </w:rPr>
            <w:fldChar w:fldCharType="begin"/>
          </w:r>
          <w:r>
            <w:rPr>
              <w:noProof/>
            </w:rPr>
            <w:instrText xml:space="preserve"> PAGEREF _Toc463603264 \h </w:instrText>
          </w:r>
          <w:r>
            <w:rPr>
              <w:noProof/>
            </w:rPr>
          </w:r>
          <w:r>
            <w:rPr>
              <w:noProof/>
            </w:rPr>
            <w:fldChar w:fldCharType="separate"/>
          </w:r>
          <w:r>
            <w:rPr>
              <w:noProof/>
            </w:rPr>
            <w:t>8</w:t>
          </w:r>
          <w:r>
            <w:rPr>
              <w:noProof/>
            </w:rPr>
            <w:fldChar w:fldCharType="end"/>
          </w:r>
        </w:p>
        <w:p w14:paraId="3351B0F3" w14:textId="77777777" w:rsidR="006C21D0" w:rsidRDefault="006C21D0">
          <w:pPr>
            <w:pStyle w:val="TM2"/>
            <w:tabs>
              <w:tab w:val="left" w:pos="480"/>
              <w:tab w:val="right" w:leader="dot" w:pos="9396"/>
            </w:tabs>
            <w:rPr>
              <w:noProof/>
              <w:sz w:val="24"/>
              <w:szCs w:val="24"/>
              <w:lang w:eastAsia="ja-JP"/>
            </w:rPr>
          </w:pPr>
          <w:r w:rsidRPr="00DD1412">
            <w:rPr>
              <w:noProof/>
              <w:lang w:val="fr-FR"/>
            </w:rPr>
            <w:t>1.</w:t>
          </w:r>
          <w:r>
            <w:rPr>
              <w:noProof/>
              <w:sz w:val="24"/>
              <w:szCs w:val="24"/>
              <w:lang w:eastAsia="ja-JP"/>
            </w:rPr>
            <w:tab/>
          </w:r>
          <w:r w:rsidRPr="00DD1412">
            <w:rPr>
              <w:noProof/>
              <w:lang w:val="fr-FR"/>
            </w:rPr>
            <w:t>« Right to regulate … »</w:t>
          </w:r>
          <w:r>
            <w:rPr>
              <w:noProof/>
            </w:rPr>
            <w:tab/>
          </w:r>
          <w:r>
            <w:rPr>
              <w:noProof/>
            </w:rPr>
            <w:fldChar w:fldCharType="begin"/>
          </w:r>
          <w:r>
            <w:rPr>
              <w:noProof/>
            </w:rPr>
            <w:instrText xml:space="preserve"> PAGEREF _Toc463603265 \h </w:instrText>
          </w:r>
          <w:r>
            <w:rPr>
              <w:noProof/>
            </w:rPr>
          </w:r>
          <w:r>
            <w:rPr>
              <w:noProof/>
            </w:rPr>
            <w:fldChar w:fldCharType="separate"/>
          </w:r>
          <w:r>
            <w:rPr>
              <w:noProof/>
            </w:rPr>
            <w:t>8</w:t>
          </w:r>
          <w:r>
            <w:rPr>
              <w:noProof/>
            </w:rPr>
            <w:fldChar w:fldCharType="end"/>
          </w:r>
        </w:p>
        <w:p w14:paraId="5FFE1C4A" w14:textId="77777777" w:rsidR="006C21D0" w:rsidRDefault="006C21D0">
          <w:pPr>
            <w:pStyle w:val="TM2"/>
            <w:tabs>
              <w:tab w:val="left" w:pos="480"/>
              <w:tab w:val="right" w:leader="dot" w:pos="9396"/>
            </w:tabs>
            <w:rPr>
              <w:noProof/>
              <w:sz w:val="24"/>
              <w:szCs w:val="24"/>
              <w:lang w:eastAsia="ja-JP"/>
            </w:rPr>
          </w:pPr>
          <w:r w:rsidRPr="00DD1412">
            <w:rPr>
              <w:noProof/>
              <w:lang w:val="fr-FR"/>
            </w:rPr>
            <w:t>2.</w:t>
          </w:r>
          <w:r>
            <w:rPr>
              <w:noProof/>
              <w:sz w:val="24"/>
              <w:szCs w:val="24"/>
              <w:lang w:eastAsia="ja-JP"/>
            </w:rPr>
            <w:tab/>
          </w:r>
          <w:r w:rsidRPr="00DD1412">
            <w:rPr>
              <w:noProof/>
              <w:lang w:val="fr-FR"/>
            </w:rPr>
            <w:t>Coopération réglementaire</w:t>
          </w:r>
          <w:r>
            <w:rPr>
              <w:noProof/>
            </w:rPr>
            <w:tab/>
          </w:r>
          <w:r>
            <w:rPr>
              <w:noProof/>
            </w:rPr>
            <w:fldChar w:fldCharType="begin"/>
          </w:r>
          <w:r>
            <w:rPr>
              <w:noProof/>
            </w:rPr>
            <w:instrText xml:space="preserve"> PAGEREF _Toc463603266 \h </w:instrText>
          </w:r>
          <w:r>
            <w:rPr>
              <w:noProof/>
            </w:rPr>
          </w:r>
          <w:r>
            <w:rPr>
              <w:noProof/>
            </w:rPr>
            <w:fldChar w:fldCharType="separate"/>
          </w:r>
          <w:r>
            <w:rPr>
              <w:noProof/>
            </w:rPr>
            <w:t>9</w:t>
          </w:r>
          <w:r>
            <w:rPr>
              <w:noProof/>
            </w:rPr>
            <w:fldChar w:fldCharType="end"/>
          </w:r>
        </w:p>
        <w:p w14:paraId="32901DB2" w14:textId="77777777" w:rsidR="006C21D0" w:rsidRDefault="006C21D0">
          <w:pPr>
            <w:pStyle w:val="TM2"/>
            <w:tabs>
              <w:tab w:val="left" w:pos="480"/>
              <w:tab w:val="right" w:leader="dot" w:pos="9396"/>
            </w:tabs>
            <w:rPr>
              <w:noProof/>
              <w:sz w:val="24"/>
              <w:szCs w:val="24"/>
              <w:lang w:eastAsia="ja-JP"/>
            </w:rPr>
          </w:pPr>
          <w:r w:rsidRPr="00DD1412">
            <w:rPr>
              <w:noProof/>
              <w:lang w:val="fr-FR"/>
            </w:rPr>
            <w:t>3.</w:t>
          </w:r>
          <w:r>
            <w:rPr>
              <w:noProof/>
              <w:sz w:val="24"/>
              <w:szCs w:val="24"/>
              <w:lang w:eastAsia="ja-JP"/>
            </w:rPr>
            <w:tab/>
          </w:r>
          <w:r w:rsidRPr="00DD1412">
            <w:rPr>
              <w:noProof/>
              <w:lang w:val="fr-FR"/>
            </w:rPr>
            <w:t>Concernant la protection des services publics</w:t>
          </w:r>
          <w:r>
            <w:rPr>
              <w:noProof/>
            </w:rPr>
            <w:tab/>
          </w:r>
          <w:r>
            <w:rPr>
              <w:noProof/>
            </w:rPr>
            <w:fldChar w:fldCharType="begin"/>
          </w:r>
          <w:r>
            <w:rPr>
              <w:noProof/>
            </w:rPr>
            <w:instrText xml:space="preserve"> PAGEREF _Toc463603267 \h </w:instrText>
          </w:r>
          <w:r>
            <w:rPr>
              <w:noProof/>
            </w:rPr>
          </w:r>
          <w:r>
            <w:rPr>
              <w:noProof/>
            </w:rPr>
            <w:fldChar w:fldCharType="separate"/>
          </w:r>
          <w:r>
            <w:rPr>
              <w:noProof/>
            </w:rPr>
            <w:t>11</w:t>
          </w:r>
          <w:r>
            <w:rPr>
              <w:noProof/>
            </w:rPr>
            <w:fldChar w:fldCharType="end"/>
          </w:r>
        </w:p>
        <w:p w14:paraId="5DD01532" w14:textId="77777777" w:rsidR="006C21D0" w:rsidRDefault="006C21D0">
          <w:pPr>
            <w:pStyle w:val="TM3"/>
            <w:tabs>
              <w:tab w:val="left" w:pos="720"/>
              <w:tab w:val="right" w:leader="dot" w:pos="9396"/>
            </w:tabs>
            <w:rPr>
              <w:i w:val="0"/>
              <w:noProof/>
              <w:sz w:val="24"/>
              <w:szCs w:val="24"/>
              <w:lang w:eastAsia="ja-JP"/>
            </w:rPr>
          </w:pPr>
          <w:r>
            <w:rPr>
              <w:noProof/>
            </w:rPr>
            <w:t>a.</w:t>
          </w:r>
          <w:r>
            <w:rPr>
              <w:i w:val="0"/>
              <w:noProof/>
              <w:sz w:val="24"/>
              <w:szCs w:val="24"/>
              <w:lang w:eastAsia="ja-JP"/>
            </w:rPr>
            <w:tab/>
          </w:r>
          <w:r>
            <w:rPr>
              <w:noProof/>
            </w:rPr>
            <w:t>Difficulté liée à la liste négative : insécurité juridique pour les services d’intérêt général</w:t>
          </w:r>
          <w:r>
            <w:rPr>
              <w:noProof/>
            </w:rPr>
            <w:tab/>
          </w:r>
          <w:r>
            <w:rPr>
              <w:noProof/>
            </w:rPr>
            <w:fldChar w:fldCharType="begin"/>
          </w:r>
          <w:r>
            <w:rPr>
              <w:noProof/>
            </w:rPr>
            <w:instrText xml:space="preserve"> PAGEREF _Toc463603268 \h </w:instrText>
          </w:r>
          <w:r>
            <w:rPr>
              <w:noProof/>
            </w:rPr>
          </w:r>
          <w:r>
            <w:rPr>
              <w:noProof/>
            </w:rPr>
            <w:fldChar w:fldCharType="separate"/>
          </w:r>
          <w:r>
            <w:rPr>
              <w:noProof/>
            </w:rPr>
            <w:t>11</w:t>
          </w:r>
          <w:r>
            <w:rPr>
              <w:noProof/>
            </w:rPr>
            <w:fldChar w:fldCharType="end"/>
          </w:r>
        </w:p>
        <w:p w14:paraId="12CA0FB6" w14:textId="77777777" w:rsidR="006C21D0" w:rsidRDefault="006C21D0">
          <w:pPr>
            <w:pStyle w:val="TM3"/>
            <w:tabs>
              <w:tab w:val="left" w:pos="720"/>
              <w:tab w:val="right" w:leader="dot" w:pos="9396"/>
            </w:tabs>
            <w:rPr>
              <w:i w:val="0"/>
              <w:noProof/>
              <w:sz w:val="24"/>
              <w:szCs w:val="24"/>
              <w:lang w:eastAsia="ja-JP"/>
            </w:rPr>
          </w:pPr>
          <w:r>
            <w:rPr>
              <w:noProof/>
            </w:rPr>
            <w:t>b.</w:t>
          </w:r>
          <w:r>
            <w:rPr>
              <w:i w:val="0"/>
              <w:noProof/>
              <w:sz w:val="24"/>
              <w:szCs w:val="24"/>
              <w:lang w:eastAsia="ja-JP"/>
            </w:rPr>
            <w:tab/>
          </w:r>
          <w:r>
            <w:rPr>
              <w:noProof/>
            </w:rPr>
            <w:t>Si tout est libéralisé, quid des services qui n’existent pas encore ?</w:t>
          </w:r>
          <w:r>
            <w:rPr>
              <w:noProof/>
            </w:rPr>
            <w:tab/>
          </w:r>
          <w:r>
            <w:rPr>
              <w:noProof/>
            </w:rPr>
            <w:fldChar w:fldCharType="begin"/>
          </w:r>
          <w:r>
            <w:rPr>
              <w:noProof/>
            </w:rPr>
            <w:instrText xml:space="preserve"> PAGEREF _Toc463603269 \h </w:instrText>
          </w:r>
          <w:r>
            <w:rPr>
              <w:noProof/>
            </w:rPr>
          </w:r>
          <w:r>
            <w:rPr>
              <w:noProof/>
            </w:rPr>
            <w:fldChar w:fldCharType="separate"/>
          </w:r>
          <w:r>
            <w:rPr>
              <w:noProof/>
            </w:rPr>
            <w:t>13</w:t>
          </w:r>
          <w:r>
            <w:rPr>
              <w:noProof/>
            </w:rPr>
            <w:fldChar w:fldCharType="end"/>
          </w:r>
        </w:p>
        <w:p w14:paraId="6CC965D9" w14:textId="77777777" w:rsidR="006C21D0" w:rsidRDefault="006C21D0">
          <w:pPr>
            <w:pStyle w:val="TM3"/>
            <w:tabs>
              <w:tab w:val="left" w:pos="720"/>
              <w:tab w:val="right" w:leader="dot" w:pos="9396"/>
            </w:tabs>
            <w:rPr>
              <w:i w:val="0"/>
              <w:noProof/>
              <w:sz w:val="24"/>
              <w:szCs w:val="24"/>
              <w:lang w:eastAsia="ja-JP"/>
            </w:rPr>
          </w:pPr>
          <w:r>
            <w:rPr>
              <w:noProof/>
            </w:rPr>
            <w:t>c.</w:t>
          </w:r>
          <w:r>
            <w:rPr>
              <w:i w:val="0"/>
              <w:noProof/>
              <w:sz w:val="24"/>
              <w:szCs w:val="24"/>
              <w:lang w:eastAsia="ja-JP"/>
            </w:rPr>
            <w:tab/>
          </w:r>
          <w:r>
            <w:rPr>
              <w:noProof/>
            </w:rPr>
            <w:t>CETA, cheval de Troie du TTIP et de toutes les entreprises privées de services du monde</w:t>
          </w:r>
          <w:r>
            <w:rPr>
              <w:noProof/>
            </w:rPr>
            <w:tab/>
          </w:r>
          <w:r>
            <w:rPr>
              <w:noProof/>
            </w:rPr>
            <w:fldChar w:fldCharType="begin"/>
          </w:r>
          <w:r>
            <w:rPr>
              <w:noProof/>
            </w:rPr>
            <w:instrText xml:space="preserve"> PAGEREF _Toc463603270 \h </w:instrText>
          </w:r>
          <w:r>
            <w:rPr>
              <w:noProof/>
            </w:rPr>
          </w:r>
          <w:r>
            <w:rPr>
              <w:noProof/>
            </w:rPr>
            <w:fldChar w:fldCharType="separate"/>
          </w:r>
          <w:r>
            <w:rPr>
              <w:noProof/>
            </w:rPr>
            <w:t>13</w:t>
          </w:r>
          <w:r>
            <w:rPr>
              <w:noProof/>
            </w:rPr>
            <w:fldChar w:fldCharType="end"/>
          </w:r>
        </w:p>
        <w:p w14:paraId="05552089" w14:textId="77777777" w:rsidR="006C21D0" w:rsidRDefault="006C21D0">
          <w:pPr>
            <w:pStyle w:val="TM3"/>
            <w:tabs>
              <w:tab w:val="left" w:pos="720"/>
              <w:tab w:val="right" w:leader="dot" w:pos="9396"/>
            </w:tabs>
            <w:rPr>
              <w:i w:val="0"/>
              <w:noProof/>
              <w:sz w:val="24"/>
              <w:szCs w:val="24"/>
              <w:lang w:eastAsia="ja-JP"/>
            </w:rPr>
          </w:pPr>
          <w:r>
            <w:rPr>
              <w:noProof/>
            </w:rPr>
            <w:t>d.</w:t>
          </w:r>
          <w:r>
            <w:rPr>
              <w:i w:val="0"/>
              <w:noProof/>
              <w:sz w:val="24"/>
              <w:szCs w:val="24"/>
              <w:lang w:eastAsia="ja-JP"/>
            </w:rPr>
            <w:tab/>
          </w:r>
          <w:r>
            <w:rPr>
              <w:noProof/>
            </w:rPr>
            <w:t>La libéralisation, toujours plus loin, comme voie sans issue</w:t>
          </w:r>
          <w:r>
            <w:rPr>
              <w:noProof/>
            </w:rPr>
            <w:tab/>
          </w:r>
          <w:r>
            <w:rPr>
              <w:noProof/>
            </w:rPr>
            <w:fldChar w:fldCharType="begin"/>
          </w:r>
          <w:r>
            <w:rPr>
              <w:noProof/>
            </w:rPr>
            <w:instrText xml:space="preserve"> PAGEREF _Toc463603271 \h </w:instrText>
          </w:r>
          <w:r>
            <w:rPr>
              <w:noProof/>
            </w:rPr>
          </w:r>
          <w:r>
            <w:rPr>
              <w:noProof/>
            </w:rPr>
            <w:fldChar w:fldCharType="separate"/>
          </w:r>
          <w:r>
            <w:rPr>
              <w:noProof/>
            </w:rPr>
            <w:t>14</w:t>
          </w:r>
          <w:r>
            <w:rPr>
              <w:noProof/>
            </w:rPr>
            <w:fldChar w:fldCharType="end"/>
          </w:r>
        </w:p>
        <w:p w14:paraId="2DCDCE0F" w14:textId="77777777" w:rsidR="006C21D0" w:rsidRDefault="006C21D0">
          <w:pPr>
            <w:pStyle w:val="TM3"/>
            <w:tabs>
              <w:tab w:val="left" w:pos="720"/>
              <w:tab w:val="right" w:leader="dot" w:pos="9396"/>
            </w:tabs>
            <w:rPr>
              <w:i w:val="0"/>
              <w:noProof/>
              <w:sz w:val="24"/>
              <w:szCs w:val="24"/>
              <w:lang w:eastAsia="ja-JP"/>
            </w:rPr>
          </w:pPr>
          <w:r w:rsidRPr="00DD1412">
            <w:rPr>
              <w:noProof/>
              <w:lang w:val="fr-FR"/>
            </w:rPr>
            <w:t>e.</w:t>
          </w:r>
          <w:r>
            <w:rPr>
              <w:i w:val="0"/>
              <w:noProof/>
              <w:sz w:val="24"/>
              <w:szCs w:val="24"/>
              <w:lang w:eastAsia="ja-JP"/>
            </w:rPr>
            <w:tab/>
          </w:r>
          <w:r w:rsidRPr="00DD1412">
            <w:rPr>
              <w:noProof/>
              <w:lang w:val="fr-FR"/>
            </w:rPr>
            <w:t>Quelques exemples d’impacts concrets sectoriels</w:t>
          </w:r>
          <w:r>
            <w:rPr>
              <w:noProof/>
            </w:rPr>
            <w:tab/>
          </w:r>
          <w:r>
            <w:rPr>
              <w:noProof/>
            </w:rPr>
            <w:fldChar w:fldCharType="begin"/>
          </w:r>
          <w:r>
            <w:rPr>
              <w:noProof/>
            </w:rPr>
            <w:instrText xml:space="preserve"> PAGEREF _Toc463603272 \h </w:instrText>
          </w:r>
          <w:r>
            <w:rPr>
              <w:noProof/>
            </w:rPr>
          </w:r>
          <w:r>
            <w:rPr>
              <w:noProof/>
            </w:rPr>
            <w:fldChar w:fldCharType="separate"/>
          </w:r>
          <w:r>
            <w:rPr>
              <w:noProof/>
            </w:rPr>
            <w:t>14</w:t>
          </w:r>
          <w:r>
            <w:rPr>
              <w:noProof/>
            </w:rPr>
            <w:fldChar w:fldCharType="end"/>
          </w:r>
        </w:p>
        <w:p w14:paraId="4B66E852" w14:textId="77777777" w:rsidR="006C21D0" w:rsidRDefault="006C21D0">
          <w:pPr>
            <w:pStyle w:val="TM4"/>
            <w:tabs>
              <w:tab w:val="left" w:pos="960"/>
              <w:tab w:val="right" w:leader="dot" w:pos="9396"/>
            </w:tabs>
            <w:rPr>
              <w:noProof/>
              <w:sz w:val="24"/>
              <w:szCs w:val="24"/>
              <w:lang w:eastAsia="ja-JP"/>
            </w:rPr>
          </w:pPr>
          <w:r w:rsidRPr="00DD1412">
            <w:rPr>
              <w:noProof/>
              <w:lang w:val="fr-FR"/>
            </w:rPr>
            <w:t>i.</w:t>
          </w:r>
          <w:r>
            <w:rPr>
              <w:noProof/>
              <w:sz w:val="24"/>
              <w:szCs w:val="24"/>
              <w:lang w:eastAsia="ja-JP"/>
            </w:rPr>
            <w:tab/>
          </w:r>
          <w:r w:rsidRPr="00DD1412">
            <w:rPr>
              <w:noProof/>
              <w:lang w:val="fr-FR"/>
            </w:rPr>
            <w:t>L’enseignement</w:t>
          </w:r>
          <w:r>
            <w:rPr>
              <w:noProof/>
            </w:rPr>
            <w:tab/>
          </w:r>
          <w:r>
            <w:rPr>
              <w:noProof/>
            </w:rPr>
            <w:fldChar w:fldCharType="begin"/>
          </w:r>
          <w:r>
            <w:rPr>
              <w:noProof/>
            </w:rPr>
            <w:instrText xml:space="preserve"> PAGEREF _Toc463603273 \h </w:instrText>
          </w:r>
          <w:r>
            <w:rPr>
              <w:noProof/>
            </w:rPr>
          </w:r>
          <w:r>
            <w:rPr>
              <w:noProof/>
            </w:rPr>
            <w:fldChar w:fldCharType="separate"/>
          </w:r>
          <w:r>
            <w:rPr>
              <w:noProof/>
            </w:rPr>
            <w:t>14</w:t>
          </w:r>
          <w:r>
            <w:rPr>
              <w:noProof/>
            </w:rPr>
            <w:fldChar w:fldCharType="end"/>
          </w:r>
        </w:p>
        <w:p w14:paraId="45EB6795" w14:textId="77777777" w:rsidR="006C21D0" w:rsidRDefault="006C21D0">
          <w:pPr>
            <w:pStyle w:val="TM2"/>
            <w:tabs>
              <w:tab w:val="left" w:pos="480"/>
              <w:tab w:val="right" w:leader="dot" w:pos="9396"/>
            </w:tabs>
            <w:rPr>
              <w:noProof/>
              <w:sz w:val="24"/>
              <w:szCs w:val="24"/>
              <w:lang w:eastAsia="ja-JP"/>
            </w:rPr>
          </w:pPr>
          <w:r w:rsidRPr="00DD1412">
            <w:rPr>
              <w:noProof/>
              <w:lang w:val="fr-FR"/>
            </w:rPr>
            <w:t>4.</w:t>
          </w:r>
          <w:r>
            <w:rPr>
              <w:noProof/>
              <w:sz w:val="24"/>
              <w:szCs w:val="24"/>
              <w:lang w:eastAsia="ja-JP"/>
            </w:rPr>
            <w:tab/>
          </w:r>
          <w:r w:rsidRPr="00DD1412">
            <w:rPr>
              <w:noProof/>
              <w:lang w:val="fr-FR"/>
            </w:rPr>
            <w:t>Le système d’arbitrage serait réformé et donc satisfaisant … Rien de neuf depuis février donc</w:t>
          </w:r>
          <w:r>
            <w:rPr>
              <w:noProof/>
            </w:rPr>
            <w:tab/>
          </w:r>
          <w:r>
            <w:rPr>
              <w:noProof/>
            </w:rPr>
            <w:fldChar w:fldCharType="begin"/>
          </w:r>
          <w:r>
            <w:rPr>
              <w:noProof/>
            </w:rPr>
            <w:instrText xml:space="preserve"> PAGEREF _Toc463603274 \h </w:instrText>
          </w:r>
          <w:r>
            <w:rPr>
              <w:noProof/>
            </w:rPr>
          </w:r>
          <w:r>
            <w:rPr>
              <w:noProof/>
            </w:rPr>
            <w:fldChar w:fldCharType="separate"/>
          </w:r>
          <w:r>
            <w:rPr>
              <w:noProof/>
            </w:rPr>
            <w:t>18</w:t>
          </w:r>
          <w:r>
            <w:rPr>
              <w:noProof/>
            </w:rPr>
            <w:fldChar w:fldCharType="end"/>
          </w:r>
        </w:p>
        <w:p w14:paraId="72F19824" w14:textId="77777777" w:rsidR="006C21D0" w:rsidRDefault="006C21D0">
          <w:pPr>
            <w:pStyle w:val="TM2"/>
            <w:tabs>
              <w:tab w:val="left" w:pos="480"/>
              <w:tab w:val="right" w:leader="dot" w:pos="9396"/>
            </w:tabs>
            <w:rPr>
              <w:noProof/>
              <w:sz w:val="24"/>
              <w:szCs w:val="24"/>
              <w:lang w:eastAsia="ja-JP"/>
            </w:rPr>
          </w:pPr>
          <w:r>
            <w:rPr>
              <w:noProof/>
            </w:rPr>
            <w:t>5.</w:t>
          </w:r>
          <w:r>
            <w:rPr>
              <w:noProof/>
              <w:sz w:val="24"/>
              <w:szCs w:val="24"/>
              <w:lang w:eastAsia="ja-JP"/>
            </w:rPr>
            <w:tab/>
          </w:r>
          <w:r>
            <w:rPr>
              <w:noProof/>
            </w:rPr>
            <w:t>Valeurs partagées, droit du travail et environnement</w:t>
          </w:r>
          <w:r>
            <w:rPr>
              <w:noProof/>
            </w:rPr>
            <w:tab/>
          </w:r>
          <w:r>
            <w:rPr>
              <w:noProof/>
            </w:rPr>
            <w:fldChar w:fldCharType="begin"/>
          </w:r>
          <w:r>
            <w:rPr>
              <w:noProof/>
            </w:rPr>
            <w:instrText xml:space="preserve"> PAGEREF _Toc463603275 \h </w:instrText>
          </w:r>
          <w:r>
            <w:rPr>
              <w:noProof/>
            </w:rPr>
          </w:r>
          <w:r>
            <w:rPr>
              <w:noProof/>
            </w:rPr>
            <w:fldChar w:fldCharType="separate"/>
          </w:r>
          <w:r>
            <w:rPr>
              <w:noProof/>
            </w:rPr>
            <w:t>20</w:t>
          </w:r>
          <w:r>
            <w:rPr>
              <w:noProof/>
            </w:rPr>
            <w:fldChar w:fldCharType="end"/>
          </w:r>
        </w:p>
        <w:p w14:paraId="39669530" w14:textId="77777777" w:rsidR="006C21D0" w:rsidRDefault="006C21D0">
          <w:pPr>
            <w:pStyle w:val="TM2"/>
            <w:tabs>
              <w:tab w:val="left" w:pos="480"/>
              <w:tab w:val="right" w:leader="dot" w:pos="9396"/>
            </w:tabs>
            <w:rPr>
              <w:noProof/>
              <w:sz w:val="24"/>
              <w:szCs w:val="24"/>
              <w:lang w:eastAsia="ja-JP"/>
            </w:rPr>
          </w:pPr>
          <w:r>
            <w:rPr>
              <w:noProof/>
            </w:rPr>
            <w:t>6.</w:t>
          </w:r>
          <w:r>
            <w:rPr>
              <w:noProof/>
              <w:sz w:val="24"/>
              <w:szCs w:val="24"/>
              <w:lang w:eastAsia="ja-JP"/>
            </w:rPr>
            <w:tab/>
          </w:r>
          <w:r>
            <w:rPr>
              <w:noProof/>
            </w:rPr>
            <w:t>Concernant l’eau</w:t>
          </w:r>
          <w:r>
            <w:rPr>
              <w:noProof/>
            </w:rPr>
            <w:tab/>
          </w:r>
          <w:r>
            <w:rPr>
              <w:noProof/>
            </w:rPr>
            <w:fldChar w:fldCharType="begin"/>
          </w:r>
          <w:r>
            <w:rPr>
              <w:noProof/>
            </w:rPr>
            <w:instrText xml:space="preserve"> PAGEREF _Toc463603276 \h </w:instrText>
          </w:r>
          <w:r>
            <w:rPr>
              <w:noProof/>
            </w:rPr>
          </w:r>
          <w:r>
            <w:rPr>
              <w:noProof/>
            </w:rPr>
            <w:fldChar w:fldCharType="separate"/>
          </w:r>
          <w:r>
            <w:rPr>
              <w:noProof/>
            </w:rPr>
            <w:t>21</w:t>
          </w:r>
          <w:r>
            <w:rPr>
              <w:noProof/>
            </w:rPr>
            <w:fldChar w:fldCharType="end"/>
          </w:r>
        </w:p>
        <w:p w14:paraId="2F7632DF" w14:textId="77777777" w:rsidR="006C21D0" w:rsidRDefault="006C21D0">
          <w:pPr>
            <w:pStyle w:val="TM2"/>
            <w:tabs>
              <w:tab w:val="left" w:pos="480"/>
              <w:tab w:val="right" w:leader="dot" w:pos="9396"/>
            </w:tabs>
            <w:rPr>
              <w:noProof/>
              <w:sz w:val="24"/>
              <w:szCs w:val="24"/>
              <w:lang w:eastAsia="ja-JP"/>
            </w:rPr>
          </w:pPr>
          <w:r>
            <w:rPr>
              <w:noProof/>
            </w:rPr>
            <w:t>7.</w:t>
          </w:r>
          <w:r>
            <w:rPr>
              <w:noProof/>
              <w:sz w:val="24"/>
              <w:szCs w:val="24"/>
              <w:lang w:eastAsia="ja-JP"/>
            </w:rPr>
            <w:tab/>
          </w:r>
          <w:r>
            <w:rPr>
              <w:noProof/>
            </w:rPr>
            <w:t>Marché publics</w:t>
          </w:r>
          <w:r>
            <w:rPr>
              <w:noProof/>
            </w:rPr>
            <w:tab/>
          </w:r>
          <w:r>
            <w:rPr>
              <w:noProof/>
            </w:rPr>
            <w:fldChar w:fldCharType="begin"/>
          </w:r>
          <w:r>
            <w:rPr>
              <w:noProof/>
            </w:rPr>
            <w:instrText xml:space="preserve"> PAGEREF _Toc463603277 \h </w:instrText>
          </w:r>
          <w:r>
            <w:rPr>
              <w:noProof/>
            </w:rPr>
          </w:r>
          <w:r>
            <w:rPr>
              <w:noProof/>
            </w:rPr>
            <w:fldChar w:fldCharType="separate"/>
          </w:r>
          <w:r>
            <w:rPr>
              <w:noProof/>
            </w:rPr>
            <w:t>22</w:t>
          </w:r>
          <w:r>
            <w:rPr>
              <w:noProof/>
            </w:rPr>
            <w:fldChar w:fldCharType="end"/>
          </w:r>
        </w:p>
        <w:p w14:paraId="648A6615" w14:textId="77777777" w:rsidR="006C21D0" w:rsidRDefault="006C21D0">
          <w:pPr>
            <w:pStyle w:val="TM1"/>
            <w:tabs>
              <w:tab w:val="right" w:leader="dot" w:pos="9396"/>
            </w:tabs>
            <w:rPr>
              <w:rFonts w:asciiTheme="minorHAnsi" w:hAnsiTheme="minorHAnsi"/>
              <w:b w:val="0"/>
              <w:noProof/>
              <w:color w:val="auto"/>
              <w:lang w:eastAsia="ja-JP"/>
            </w:rPr>
          </w:pPr>
          <w:r>
            <w:rPr>
              <w:noProof/>
            </w:rPr>
            <w:t>Conclusions</w:t>
          </w:r>
          <w:r>
            <w:rPr>
              <w:noProof/>
            </w:rPr>
            <w:tab/>
          </w:r>
          <w:r>
            <w:rPr>
              <w:noProof/>
            </w:rPr>
            <w:fldChar w:fldCharType="begin"/>
          </w:r>
          <w:r>
            <w:rPr>
              <w:noProof/>
            </w:rPr>
            <w:instrText xml:space="preserve"> PAGEREF _Toc463603278 \h </w:instrText>
          </w:r>
          <w:r>
            <w:rPr>
              <w:noProof/>
            </w:rPr>
          </w:r>
          <w:r>
            <w:rPr>
              <w:noProof/>
            </w:rPr>
            <w:fldChar w:fldCharType="separate"/>
          </w:r>
          <w:r>
            <w:rPr>
              <w:noProof/>
            </w:rPr>
            <w:t>23</w:t>
          </w:r>
          <w:r>
            <w:rPr>
              <w:noProof/>
            </w:rPr>
            <w:fldChar w:fldCharType="end"/>
          </w:r>
        </w:p>
        <w:p w14:paraId="715DA6EA" w14:textId="35210CC5" w:rsidR="006C21D0" w:rsidRDefault="006C21D0">
          <w:r>
            <w:rPr>
              <w:rFonts w:asciiTheme="majorHAnsi" w:hAnsiTheme="majorHAnsi"/>
              <w:color w:val="548DD4"/>
            </w:rPr>
            <w:fldChar w:fldCharType="end"/>
          </w:r>
        </w:p>
      </w:sdtContent>
    </w:sdt>
    <w:p w14:paraId="5FA8BAB2" w14:textId="77777777" w:rsidR="00C80FF2" w:rsidRPr="00BC6E89" w:rsidRDefault="00C80FF2" w:rsidP="00421E0A">
      <w:pPr>
        <w:widowControl w:val="0"/>
        <w:autoSpaceDE w:val="0"/>
        <w:autoSpaceDN w:val="0"/>
        <w:adjustRightInd w:val="0"/>
        <w:rPr>
          <w:rFonts w:ascii="Verdana" w:hAnsi="Verdana" w:cs="Tahoma"/>
          <w:color w:val="453CCC"/>
          <w:sz w:val="22"/>
          <w:szCs w:val="22"/>
          <w:lang w:val="fr-FR"/>
        </w:rPr>
      </w:pPr>
    </w:p>
    <w:p w14:paraId="7F9F4F61" w14:textId="77777777" w:rsidR="00421E0A" w:rsidRPr="00BC6E89" w:rsidRDefault="00421E0A" w:rsidP="000857CD">
      <w:pPr>
        <w:pStyle w:val="Titre"/>
        <w:rPr>
          <w:color w:val="453CCC"/>
        </w:rPr>
      </w:pPr>
      <w:bookmarkStart w:id="0" w:name="_Toc463603258"/>
      <w:r w:rsidRPr="00BC6E89">
        <w:t>Considérations générales</w:t>
      </w:r>
      <w:bookmarkEnd w:id="0"/>
      <w:r w:rsidRPr="00BC6E89">
        <w:t> </w:t>
      </w:r>
    </w:p>
    <w:p w14:paraId="1DB53819" w14:textId="77777777" w:rsidR="00421E0A" w:rsidRPr="00BC6E89" w:rsidRDefault="00421E0A" w:rsidP="00421E0A">
      <w:pPr>
        <w:widowControl w:val="0"/>
        <w:autoSpaceDE w:val="0"/>
        <w:autoSpaceDN w:val="0"/>
        <w:adjustRightInd w:val="0"/>
        <w:rPr>
          <w:rFonts w:ascii="Verdana" w:hAnsi="Verdana" w:cs="Tahoma"/>
          <w:color w:val="453CCC"/>
          <w:sz w:val="22"/>
          <w:szCs w:val="22"/>
          <w:lang w:val="fr-FR"/>
        </w:rPr>
      </w:pPr>
    </w:p>
    <w:p w14:paraId="3F8298F7" w14:textId="10AA4C6A" w:rsidR="009A0C7F" w:rsidRPr="009A0C7F" w:rsidRDefault="009A0C7F" w:rsidP="009A0C7F">
      <w:pPr>
        <w:jc w:val="both"/>
        <w:rPr>
          <w:rFonts w:ascii="Verdana" w:hAnsi="Verdana"/>
          <w:b/>
          <w:sz w:val="22"/>
          <w:szCs w:val="22"/>
          <w:lang w:val="fr-FR"/>
        </w:rPr>
      </w:pPr>
      <w:r w:rsidRPr="009A0C7F">
        <w:rPr>
          <w:rFonts w:ascii="Verdana" w:hAnsi="Verdana"/>
          <w:b/>
          <w:sz w:val="22"/>
          <w:szCs w:val="22"/>
          <w:lang w:val="fr-FR"/>
        </w:rPr>
        <w:t>Le document de 4 pages qui a fuité ce 6 octobre était censé apaiser les préoccupations des opposants au traité CETA entre l’UE et le Canada, soumis à l’approbation des Etats membres de l’UE le 18 octobre prochain. Malheureusement, ce nouveau texte à la portée légale quasi nulle se révèle essentiellement être un exercice de communication.</w:t>
      </w:r>
    </w:p>
    <w:p w14:paraId="225F5D14" w14:textId="77777777" w:rsidR="009A0C7F" w:rsidRDefault="009A0C7F" w:rsidP="00421E0A">
      <w:pPr>
        <w:widowControl w:val="0"/>
        <w:autoSpaceDE w:val="0"/>
        <w:autoSpaceDN w:val="0"/>
        <w:adjustRightInd w:val="0"/>
        <w:rPr>
          <w:rFonts w:ascii="Verdana" w:hAnsi="Verdana" w:cs="Tahoma"/>
          <w:sz w:val="22"/>
          <w:szCs w:val="22"/>
          <w:lang w:val="fr-FR"/>
        </w:rPr>
      </w:pPr>
    </w:p>
    <w:p w14:paraId="4C35D44C" w14:textId="7BBDEC68" w:rsidR="00421E0A" w:rsidRPr="00BC6E89" w:rsidRDefault="00D53B37" w:rsidP="00421E0A">
      <w:pPr>
        <w:widowControl w:val="0"/>
        <w:autoSpaceDE w:val="0"/>
        <w:autoSpaceDN w:val="0"/>
        <w:adjustRightInd w:val="0"/>
        <w:rPr>
          <w:rFonts w:ascii="Verdana" w:hAnsi="Verdana" w:cs="Helvetica"/>
          <w:sz w:val="22"/>
          <w:szCs w:val="22"/>
          <w:lang w:val="fr-FR"/>
        </w:rPr>
      </w:pPr>
      <w:r w:rsidRPr="00BC6E89">
        <w:rPr>
          <w:rFonts w:ascii="Verdana" w:hAnsi="Verdana" w:cs="Tahoma"/>
          <w:sz w:val="22"/>
          <w:szCs w:val="22"/>
          <w:lang w:val="fr-FR"/>
        </w:rPr>
        <w:t xml:space="preserve">Le document proposé par </w:t>
      </w:r>
      <w:r w:rsidR="00CA396B" w:rsidRPr="00BC6E89">
        <w:rPr>
          <w:rFonts w:ascii="Verdana" w:hAnsi="Verdana" w:cs="Tahoma"/>
          <w:sz w:val="22"/>
          <w:szCs w:val="22"/>
          <w:lang w:val="fr-FR"/>
        </w:rPr>
        <w:t>la Commission européenne et le G</w:t>
      </w:r>
      <w:r w:rsidRPr="00BC6E89">
        <w:rPr>
          <w:rFonts w:ascii="Verdana" w:hAnsi="Verdana" w:cs="Tahoma"/>
          <w:sz w:val="22"/>
          <w:szCs w:val="22"/>
          <w:lang w:val="fr-FR"/>
        </w:rPr>
        <w:t xml:space="preserve">ouvernement canadien </w:t>
      </w:r>
      <w:r w:rsidRPr="00BC6E89">
        <w:rPr>
          <w:rFonts w:ascii="Verdana" w:hAnsi="Verdana" w:cs="Tahoma"/>
          <w:sz w:val="22"/>
          <w:szCs w:val="22"/>
          <w:lang w:val="fr-FR"/>
        </w:rPr>
        <w:lastRenderedPageBreak/>
        <w:t>s’étale sur 4 pages ½.</w:t>
      </w:r>
      <w:r w:rsidR="00421E0A" w:rsidRPr="00BC6E89">
        <w:rPr>
          <w:rFonts w:ascii="Verdana" w:hAnsi="Verdana" w:cs="Tahoma"/>
          <w:sz w:val="22"/>
          <w:szCs w:val="22"/>
          <w:lang w:val="fr-FR"/>
        </w:rPr>
        <w:t xml:space="preserve"> </w:t>
      </w:r>
      <w:r w:rsidRPr="00BC6E89">
        <w:rPr>
          <w:rFonts w:ascii="Verdana" w:hAnsi="Verdana" w:cs="Tahoma"/>
          <w:sz w:val="22"/>
          <w:szCs w:val="22"/>
          <w:lang w:val="fr-FR"/>
        </w:rPr>
        <w:t xml:space="preserve">Il est très difficile d’évaluer précisément dans quel mesure </w:t>
      </w:r>
      <w:r w:rsidR="00421E0A" w:rsidRPr="00BC6E89">
        <w:rPr>
          <w:rFonts w:ascii="Verdana" w:hAnsi="Verdana" w:cs="Tahoma"/>
          <w:sz w:val="22"/>
          <w:szCs w:val="22"/>
          <w:lang w:val="fr-FR"/>
        </w:rPr>
        <w:t>un document si général et imprécis</w:t>
      </w:r>
      <w:r w:rsidR="00BC6E89" w:rsidRPr="00BC6E89">
        <w:rPr>
          <w:rFonts w:ascii="Verdana" w:hAnsi="Verdana" w:cs="Tahoma"/>
          <w:sz w:val="22"/>
          <w:szCs w:val="22"/>
          <w:lang w:val="fr-FR"/>
        </w:rPr>
        <w:t>, rédigé dans le langage d’un communiqué de presse plus que d’un traité international,</w:t>
      </w:r>
      <w:r w:rsidR="00421E0A" w:rsidRPr="00BC6E89">
        <w:rPr>
          <w:rFonts w:ascii="Verdana" w:hAnsi="Verdana" w:cs="Tahoma"/>
          <w:sz w:val="22"/>
          <w:szCs w:val="22"/>
          <w:lang w:val="fr-FR"/>
        </w:rPr>
        <w:t xml:space="preserve"> pourrait amener un gouvernement à modifier sa position sur un traité de 1600 pages, un document qui aura force de loi et dans lequel chaque mot compte. </w:t>
      </w:r>
      <w:r w:rsidR="00BC6E89" w:rsidRPr="00BC6E89">
        <w:rPr>
          <w:rFonts w:ascii="Verdana" w:hAnsi="Verdana" w:cs="Tahoma"/>
          <w:sz w:val="22"/>
          <w:szCs w:val="22"/>
          <w:lang w:val="fr-FR"/>
        </w:rPr>
        <w:t>La</w:t>
      </w:r>
      <w:r w:rsidR="00421E0A" w:rsidRPr="00BC6E89">
        <w:rPr>
          <w:rFonts w:ascii="Verdana" w:hAnsi="Verdana" w:cs="Tahoma"/>
          <w:sz w:val="22"/>
          <w:szCs w:val="22"/>
          <w:lang w:val="fr-FR"/>
        </w:rPr>
        <w:t xml:space="preserve"> nature </w:t>
      </w:r>
      <w:r w:rsidR="00BC6E89" w:rsidRPr="00BC6E89">
        <w:rPr>
          <w:rFonts w:ascii="Verdana" w:hAnsi="Verdana" w:cs="Tahoma"/>
          <w:sz w:val="22"/>
          <w:szCs w:val="22"/>
          <w:lang w:val="fr-FR"/>
        </w:rPr>
        <w:t xml:space="preserve">et la </w:t>
      </w:r>
      <w:r w:rsidR="00421E0A" w:rsidRPr="00BC6E89">
        <w:rPr>
          <w:rFonts w:ascii="Verdana" w:hAnsi="Verdana" w:cs="Tahoma"/>
          <w:sz w:val="22"/>
          <w:szCs w:val="22"/>
          <w:lang w:val="fr-FR"/>
        </w:rPr>
        <w:t>porté</w:t>
      </w:r>
      <w:r w:rsidR="00BC6E89" w:rsidRPr="00BC6E89">
        <w:rPr>
          <w:rFonts w:ascii="Verdana" w:hAnsi="Verdana" w:cs="Tahoma"/>
          <w:sz w:val="22"/>
          <w:szCs w:val="22"/>
          <w:lang w:val="fr-FR"/>
        </w:rPr>
        <w:t>e</w:t>
      </w:r>
      <w:r w:rsidR="00421E0A" w:rsidRPr="00BC6E89">
        <w:rPr>
          <w:rFonts w:ascii="Verdana" w:hAnsi="Verdana" w:cs="Tahoma"/>
          <w:sz w:val="22"/>
          <w:szCs w:val="22"/>
          <w:lang w:val="fr-FR"/>
        </w:rPr>
        <w:t xml:space="preserve"> juridique exacte</w:t>
      </w:r>
      <w:r w:rsidR="00BC6E89" w:rsidRPr="00BC6E89">
        <w:rPr>
          <w:rFonts w:ascii="Verdana" w:hAnsi="Verdana" w:cs="Tahoma"/>
          <w:sz w:val="22"/>
          <w:szCs w:val="22"/>
          <w:lang w:val="fr-FR"/>
        </w:rPr>
        <w:t>s du texte étant très incertaines</w:t>
      </w:r>
      <w:r w:rsidR="00421E0A" w:rsidRPr="00BC6E89">
        <w:rPr>
          <w:rFonts w:ascii="Verdana" w:hAnsi="Verdana" w:cs="Tahoma"/>
          <w:sz w:val="22"/>
          <w:szCs w:val="22"/>
          <w:lang w:val="fr-FR"/>
        </w:rPr>
        <w:t xml:space="preserve">, </w:t>
      </w:r>
      <w:r w:rsidRPr="00BC6E89">
        <w:rPr>
          <w:rFonts w:ascii="Verdana" w:hAnsi="Verdana" w:cs="Tahoma"/>
          <w:sz w:val="22"/>
          <w:szCs w:val="22"/>
          <w:lang w:val="fr-FR"/>
        </w:rPr>
        <w:t xml:space="preserve">il n’y a pas matière à changer de </w:t>
      </w:r>
      <w:r w:rsidR="00421E0A" w:rsidRPr="00BC6E89">
        <w:rPr>
          <w:rFonts w:ascii="Verdana" w:hAnsi="Verdana" w:cs="Tahoma"/>
          <w:sz w:val="22"/>
          <w:szCs w:val="22"/>
          <w:lang w:val="fr-FR"/>
        </w:rPr>
        <w:t>position</w:t>
      </w:r>
      <w:r w:rsidR="00BC6E89" w:rsidRPr="00BC6E89">
        <w:rPr>
          <w:rFonts w:ascii="Verdana" w:hAnsi="Verdana" w:cs="Tahoma"/>
          <w:sz w:val="22"/>
          <w:szCs w:val="22"/>
          <w:lang w:val="fr-FR"/>
        </w:rPr>
        <w:t xml:space="preserve"> à ce stade</w:t>
      </w:r>
      <w:r w:rsidR="00421E0A" w:rsidRPr="00BC6E89">
        <w:rPr>
          <w:rFonts w:ascii="Verdana" w:hAnsi="Verdana" w:cs="Tahoma"/>
          <w:sz w:val="22"/>
          <w:szCs w:val="22"/>
          <w:lang w:val="fr-FR"/>
        </w:rPr>
        <w:t>.</w:t>
      </w:r>
    </w:p>
    <w:p w14:paraId="481E50CF" w14:textId="77777777" w:rsidR="00421E0A" w:rsidRPr="00BC6E89" w:rsidRDefault="00421E0A" w:rsidP="00421E0A">
      <w:pPr>
        <w:widowControl w:val="0"/>
        <w:autoSpaceDE w:val="0"/>
        <w:autoSpaceDN w:val="0"/>
        <w:adjustRightInd w:val="0"/>
        <w:rPr>
          <w:rFonts w:ascii="Verdana" w:hAnsi="Verdana" w:cs="Tahoma"/>
          <w:color w:val="453CCC"/>
          <w:sz w:val="22"/>
          <w:szCs w:val="22"/>
          <w:lang w:val="fr-FR"/>
        </w:rPr>
      </w:pPr>
    </w:p>
    <w:p w14:paraId="4E0EEFF0" w14:textId="3530DB87" w:rsidR="00421E0A" w:rsidRPr="00BC6E89" w:rsidRDefault="00421E0A" w:rsidP="00421E0A">
      <w:pPr>
        <w:widowControl w:val="0"/>
        <w:autoSpaceDE w:val="0"/>
        <w:autoSpaceDN w:val="0"/>
        <w:adjustRightInd w:val="0"/>
        <w:rPr>
          <w:rFonts w:ascii="Verdana" w:hAnsi="Verdana" w:cs="Tahoma"/>
          <w:color w:val="262626"/>
          <w:sz w:val="22"/>
          <w:szCs w:val="22"/>
          <w:lang w:val="fr-FR"/>
        </w:rPr>
      </w:pPr>
      <w:r w:rsidRPr="00BC6E89">
        <w:rPr>
          <w:rFonts w:ascii="Verdana" w:hAnsi="Verdana" w:cs="Tahoma"/>
          <w:sz w:val="22"/>
          <w:szCs w:val="22"/>
          <w:lang w:val="fr-FR"/>
        </w:rPr>
        <w:t>De plus, il existe des propositions concrètes et précises de formulations à intégrer au CETA qui pourraient être à même de répondre à une partie de nos préoccupations : </w:t>
      </w:r>
      <w:hyperlink r:id="rId8" w:history="1">
        <w:r w:rsidRPr="00BC6E89">
          <w:rPr>
            <w:rStyle w:val="Lienhypertexte"/>
            <w:rFonts w:ascii="Verdana" w:hAnsi="Verdana" w:cs="Tahoma"/>
            <w:sz w:val="22"/>
            <w:szCs w:val="22"/>
            <w:lang w:val="fr-FR"/>
          </w:rPr>
          <w:t>les syndicats allemand et canadien</w:t>
        </w:r>
        <w:r w:rsidR="00D53B37" w:rsidRPr="00BC6E89">
          <w:rPr>
            <w:rStyle w:val="Lienhypertexte"/>
            <w:rFonts w:ascii="Verdana" w:hAnsi="Verdana" w:cs="Tahoma"/>
            <w:sz w:val="22"/>
            <w:szCs w:val="22"/>
            <w:lang w:val="fr-FR"/>
          </w:rPr>
          <w:t xml:space="preserve"> (DGB et CLC)</w:t>
        </w:r>
        <w:r w:rsidRPr="00BC6E89">
          <w:rPr>
            <w:rStyle w:val="Lienhypertexte"/>
            <w:rFonts w:ascii="Verdana" w:hAnsi="Verdana" w:cs="Tahoma"/>
            <w:sz w:val="22"/>
            <w:szCs w:val="22"/>
            <w:lang w:val="fr-FR"/>
          </w:rPr>
          <w:t xml:space="preserve"> ont proposé des protocoles additionnels à intégrer au CETA</w:t>
        </w:r>
      </w:hyperlink>
      <w:r w:rsidR="00D53B37" w:rsidRPr="00BC6E89">
        <w:rPr>
          <w:rStyle w:val="Appelnotedebasdep"/>
          <w:rFonts w:ascii="Verdana" w:hAnsi="Verdana" w:cs="Tahoma"/>
          <w:color w:val="0563C1" w:themeColor="hyperlink"/>
          <w:sz w:val="22"/>
          <w:szCs w:val="22"/>
          <w:u w:val="single"/>
          <w:lang w:val="fr-FR"/>
        </w:rPr>
        <w:footnoteReference w:id="2"/>
      </w:r>
      <w:r w:rsidRPr="00BC6E89">
        <w:rPr>
          <w:rFonts w:ascii="Verdana" w:hAnsi="Verdana" w:cs="Tahoma"/>
          <w:sz w:val="22"/>
          <w:szCs w:val="22"/>
          <w:lang w:val="fr-FR"/>
        </w:rPr>
        <w:t> ave</w:t>
      </w:r>
      <w:r w:rsidRPr="00BC6E89">
        <w:rPr>
          <w:rFonts w:ascii="Verdana" w:hAnsi="Verdana" w:cs="Tahoma"/>
          <w:color w:val="262626"/>
          <w:sz w:val="22"/>
          <w:szCs w:val="22"/>
          <w:lang w:val="fr-FR"/>
        </w:rPr>
        <w:t xml:space="preserve">c effet juridique contraignant, qui limiteraient sérieusement les risques posés par certains chapitres : le chapitre </w:t>
      </w:r>
      <w:r w:rsidR="00D53B37" w:rsidRPr="00BC6E89">
        <w:rPr>
          <w:rFonts w:ascii="Verdana" w:hAnsi="Verdana" w:cs="Tahoma"/>
          <w:color w:val="262626"/>
          <w:sz w:val="22"/>
          <w:szCs w:val="22"/>
          <w:lang w:val="fr-FR"/>
        </w:rPr>
        <w:t xml:space="preserve">« services » </w:t>
      </w:r>
      <w:r w:rsidRPr="00BC6E89">
        <w:rPr>
          <w:rFonts w:ascii="Verdana" w:hAnsi="Verdana" w:cs="Tahoma"/>
          <w:color w:val="262626"/>
          <w:sz w:val="22"/>
          <w:szCs w:val="22"/>
          <w:lang w:val="fr-FR"/>
        </w:rPr>
        <w:t>sur les services publics, la cour d’arbitrage sur le droit à réglementer, sur les marchés publics, et qui ajouteraient la préservation du principe de précaution et des sanctions en cas de non-respect des normes sociales et environnementales. </w:t>
      </w:r>
    </w:p>
    <w:p w14:paraId="6D4F24C2" w14:textId="77777777" w:rsidR="00D53B37" w:rsidRPr="00BC6E89" w:rsidRDefault="00D53B37" w:rsidP="00421E0A">
      <w:pPr>
        <w:widowControl w:val="0"/>
        <w:autoSpaceDE w:val="0"/>
        <w:autoSpaceDN w:val="0"/>
        <w:adjustRightInd w:val="0"/>
        <w:rPr>
          <w:rFonts w:ascii="Verdana" w:hAnsi="Verdana" w:cs="Helvetica"/>
          <w:sz w:val="22"/>
          <w:szCs w:val="22"/>
          <w:lang w:val="fr-FR"/>
        </w:rPr>
      </w:pPr>
    </w:p>
    <w:p w14:paraId="16788655" w14:textId="402350A3" w:rsidR="00D53B37" w:rsidRPr="00BC6E89" w:rsidRDefault="00421E0A" w:rsidP="00421E0A">
      <w:pPr>
        <w:widowControl w:val="0"/>
        <w:autoSpaceDE w:val="0"/>
        <w:autoSpaceDN w:val="0"/>
        <w:adjustRightInd w:val="0"/>
        <w:rPr>
          <w:rFonts w:ascii="Verdana" w:hAnsi="Verdana" w:cs="Tahoma"/>
          <w:color w:val="262626"/>
          <w:sz w:val="22"/>
          <w:szCs w:val="22"/>
          <w:lang w:val="fr-FR"/>
        </w:rPr>
      </w:pPr>
      <w:r w:rsidRPr="00BC6E89">
        <w:rPr>
          <w:rFonts w:ascii="Verdana" w:hAnsi="Verdana" w:cs="Tahoma"/>
          <w:color w:val="262626"/>
          <w:sz w:val="22"/>
          <w:szCs w:val="22"/>
          <w:lang w:val="fr-FR"/>
        </w:rPr>
        <w:t>Soulignons que dans les propositions de la DGB et de la CLC, toutes nos préoccupations ne sont pas rencontrées. Par exemple : rien sur l’exception agricole, sur les tonnes de viandes supplémentaires importées depuis le Canada qui menacent nos éleveurs</w:t>
      </w:r>
      <w:r w:rsidR="00BC6E89" w:rsidRPr="00BC6E89">
        <w:rPr>
          <w:rFonts w:ascii="Verdana" w:hAnsi="Verdana" w:cs="Tahoma"/>
          <w:color w:val="262626"/>
          <w:sz w:val="22"/>
          <w:szCs w:val="22"/>
          <w:lang w:val="fr-FR"/>
        </w:rPr>
        <w:t xml:space="preserve"> </w:t>
      </w:r>
      <w:r w:rsidRPr="00BC6E89">
        <w:rPr>
          <w:rFonts w:ascii="Verdana" w:hAnsi="Verdana" w:cs="Tahoma"/>
          <w:color w:val="262626"/>
          <w:sz w:val="22"/>
          <w:szCs w:val="22"/>
          <w:lang w:val="fr-FR"/>
        </w:rPr>
        <w:t>, sur les restrictions à notre capacité de réguler les banques pour éviter de nouvelles crises financières (ce </w:t>
      </w:r>
      <w:hyperlink r:id="rId9" w:history="1">
        <w:r w:rsidRPr="00BC6E89">
          <w:rPr>
            <w:rFonts w:ascii="Verdana" w:hAnsi="Verdana" w:cs="Tahoma"/>
            <w:color w:val="386EFF"/>
            <w:sz w:val="22"/>
            <w:szCs w:val="22"/>
            <w:u w:val="single" w:color="386EFF"/>
            <w:lang w:val="fr-FR"/>
          </w:rPr>
          <w:t>qui fait partie des conditions posées par la résolution du parlement bruxellois</w:t>
        </w:r>
      </w:hyperlink>
      <w:r w:rsidRPr="00BC6E89">
        <w:rPr>
          <w:rFonts w:ascii="Verdana" w:hAnsi="Verdana" w:cs="Tahoma"/>
          <w:color w:val="262626"/>
          <w:sz w:val="22"/>
          <w:szCs w:val="22"/>
          <w:lang w:val="fr-FR"/>
        </w:rPr>
        <w:t>) ou encore sur nos droits digitaux, ni même aucune garantie que les 204.000 emplois menacés selon l’étude de la Tufts University</w:t>
      </w:r>
      <w:r w:rsidR="00D53B37" w:rsidRPr="00BC6E89">
        <w:rPr>
          <w:rStyle w:val="Appelnotedebasdep"/>
          <w:rFonts w:ascii="Verdana" w:hAnsi="Verdana" w:cs="Tahoma"/>
          <w:color w:val="262626"/>
          <w:sz w:val="22"/>
          <w:szCs w:val="22"/>
          <w:lang w:val="fr-FR"/>
        </w:rPr>
        <w:footnoteReference w:id="3"/>
      </w:r>
      <w:r w:rsidR="00D53B37" w:rsidRPr="00BC6E89">
        <w:rPr>
          <w:rFonts w:ascii="Verdana" w:hAnsi="Verdana" w:cs="Tahoma"/>
          <w:color w:val="262626"/>
          <w:sz w:val="22"/>
          <w:szCs w:val="22"/>
          <w:lang w:val="fr-FR"/>
        </w:rPr>
        <w:t xml:space="preserve"> </w:t>
      </w:r>
      <w:r w:rsidRPr="00BC6E89">
        <w:rPr>
          <w:rFonts w:ascii="Verdana" w:hAnsi="Verdana" w:cs="Tahoma"/>
          <w:color w:val="262626"/>
          <w:sz w:val="22"/>
          <w:szCs w:val="22"/>
          <w:lang w:val="fr-FR"/>
        </w:rPr>
        <w:t xml:space="preserve">seront préservés. </w:t>
      </w:r>
    </w:p>
    <w:p w14:paraId="54AC8D8A" w14:textId="77777777" w:rsidR="00D53B37" w:rsidRPr="00BC6E89" w:rsidRDefault="00D53B37" w:rsidP="00421E0A">
      <w:pPr>
        <w:widowControl w:val="0"/>
        <w:autoSpaceDE w:val="0"/>
        <w:autoSpaceDN w:val="0"/>
        <w:adjustRightInd w:val="0"/>
        <w:rPr>
          <w:rFonts w:ascii="Verdana" w:hAnsi="Verdana" w:cs="Tahoma"/>
          <w:color w:val="262626"/>
          <w:sz w:val="22"/>
          <w:szCs w:val="22"/>
          <w:lang w:val="fr-FR"/>
        </w:rPr>
      </w:pPr>
    </w:p>
    <w:p w14:paraId="2E17A2C1" w14:textId="1BD0686B" w:rsidR="00421E0A" w:rsidRPr="00BC6E89" w:rsidRDefault="00421E0A" w:rsidP="00421E0A">
      <w:pPr>
        <w:widowControl w:val="0"/>
        <w:autoSpaceDE w:val="0"/>
        <w:autoSpaceDN w:val="0"/>
        <w:adjustRightInd w:val="0"/>
        <w:rPr>
          <w:rFonts w:ascii="Verdana" w:hAnsi="Verdana" w:cs="Helvetica"/>
          <w:sz w:val="22"/>
          <w:szCs w:val="22"/>
          <w:lang w:val="fr-FR"/>
        </w:rPr>
      </w:pPr>
      <w:r w:rsidRPr="00BC6E89">
        <w:rPr>
          <w:rFonts w:ascii="Verdana" w:hAnsi="Verdana" w:cs="Tahoma"/>
          <w:color w:val="262626"/>
          <w:sz w:val="22"/>
          <w:szCs w:val="22"/>
          <w:lang w:val="fr-FR"/>
        </w:rPr>
        <w:t>A première vue, on peut estimer que si les propositions mises sur la table par la DGB et la CLC étaient entièrement inclues au CETA - ce qui est posé comme condition pour accepte</w:t>
      </w:r>
      <w:r w:rsidR="00D53B37" w:rsidRPr="00BC6E89">
        <w:rPr>
          <w:rFonts w:ascii="Verdana" w:hAnsi="Verdana" w:cs="Tahoma"/>
          <w:color w:val="262626"/>
          <w:sz w:val="22"/>
          <w:szCs w:val="22"/>
          <w:lang w:val="fr-FR"/>
        </w:rPr>
        <w:t>r</w:t>
      </w:r>
      <w:r w:rsidRPr="00BC6E89">
        <w:rPr>
          <w:rFonts w:ascii="Verdana" w:hAnsi="Verdana" w:cs="Tahoma"/>
          <w:color w:val="262626"/>
          <w:sz w:val="22"/>
          <w:szCs w:val="22"/>
          <w:lang w:val="fr-FR"/>
        </w:rPr>
        <w:t xml:space="preserve"> le CETA</w:t>
      </w:r>
      <w:r w:rsidR="00D53B37" w:rsidRPr="00BC6E89">
        <w:rPr>
          <w:rFonts w:ascii="Verdana" w:hAnsi="Verdana" w:cs="Tahoma"/>
          <w:color w:val="262626"/>
          <w:sz w:val="22"/>
          <w:szCs w:val="22"/>
          <w:lang w:val="fr-FR"/>
        </w:rPr>
        <w:t xml:space="preserve"> dans la résolution du SPD du 19 septembre</w:t>
      </w:r>
      <w:r w:rsidR="00D53B37" w:rsidRPr="00BC6E89">
        <w:rPr>
          <w:rStyle w:val="Appelnotedebasdep"/>
          <w:rFonts w:ascii="Verdana" w:hAnsi="Verdana" w:cs="Tahoma"/>
          <w:color w:val="262626"/>
          <w:sz w:val="22"/>
          <w:szCs w:val="22"/>
          <w:lang w:val="fr-FR"/>
        </w:rPr>
        <w:footnoteReference w:id="4"/>
      </w:r>
      <w:r w:rsidRPr="00BC6E89">
        <w:rPr>
          <w:rFonts w:ascii="Verdana" w:hAnsi="Verdana" w:cs="Tahoma"/>
          <w:color w:val="262626"/>
          <w:sz w:val="22"/>
          <w:szCs w:val="22"/>
          <w:lang w:val="fr-FR"/>
        </w:rPr>
        <w:t xml:space="preserve"> - environ 60% de nos préoccupations trouveraient une réponse minimaliste. Minimaliste car on serait encore loin d’une politique commerciale réellement mise au service du développement durable, de la réduction des inégalités et des droits humains. Cela illustre la nécessité d’enfin prendre le temps de la concertation. Cela implique que le CETA ne doit en aucun cas être signé le 27 octobre, ce calendrier précipité </w:t>
      </w:r>
      <w:r w:rsidR="00D53B37" w:rsidRPr="00BC6E89">
        <w:rPr>
          <w:rFonts w:ascii="Verdana" w:hAnsi="Verdana" w:cs="Tahoma"/>
          <w:color w:val="262626"/>
          <w:sz w:val="22"/>
          <w:szCs w:val="22"/>
          <w:lang w:val="fr-FR"/>
        </w:rPr>
        <w:t>n’étant</w:t>
      </w:r>
      <w:r w:rsidRPr="00BC6E89">
        <w:rPr>
          <w:rFonts w:ascii="Verdana" w:hAnsi="Verdana" w:cs="Tahoma"/>
          <w:color w:val="262626"/>
          <w:sz w:val="22"/>
          <w:szCs w:val="22"/>
          <w:lang w:val="fr-FR"/>
        </w:rPr>
        <w:t xml:space="preserve"> simplement pas réaliste</w:t>
      </w:r>
      <w:r w:rsidR="00D53B37" w:rsidRPr="00BC6E89">
        <w:rPr>
          <w:rFonts w:ascii="Verdana" w:hAnsi="Verdana" w:cs="Tahoma"/>
          <w:color w:val="262626"/>
          <w:sz w:val="22"/>
          <w:szCs w:val="22"/>
          <w:lang w:val="fr-FR"/>
        </w:rPr>
        <w:t xml:space="preserve"> pour examiner la portée exacte de la déclaration conjointe et sa capacité à répondre aux préoccupations et lignes rouges exprimées</w:t>
      </w:r>
      <w:r w:rsidRPr="00BC6E89">
        <w:rPr>
          <w:rFonts w:ascii="Verdana" w:hAnsi="Verdana" w:cs="Tahoma"/>
          <w:color w:val="262626"/>
          <w:sz w:val="22"/>
          <w:szCs w:val="22"/>
          <w:lang w:val="fr-FR"/>
        </w:rPr>
        <w:t>.</w:t>
      </w:r>
    </w:p>
    <w:p w14:paraId="203454D2" w14:textId="77777777" w:rsidR="00575A04" w:rsidRPr="00BC6E89" w:rsidRDefault="00575A04" w:rsidP="00421E0A">
      <w:pPr>
        <w:widowControl w:val="0"/>
        <w:autoSpaceDE w:val="0"/>
        <w:autoSpaceDN w:val="0"/>
        <w:adjustRightInd w:val="0"/>
        <w:rPr>
          <w:rFonts w:ascii="Verdana" w:hAnsi="Verdana" w:cs="Helvetica"/>
          <w:sz w:val="22"/>
          <w:szCs w:val="22"/>
          <w:lang w:val="fr-FR"/>
        </w:rPr>
      </w:pPr>
    </w:p>
    <w:p w14:paraId="58613C6C" w14:textId="678611B3" w:rsidR="00A67A1C" w:rsidRPr="00BC6E89" w:rsidRDefault="00421E0A" w:rsidP="00421E0A">
      <w:pPr>
        <w:widowControl w:val="0"/>
        <w:autoSpaceDE w:val="0"/>
        <w:autoSpaceDN w:val="0"/>
        <w:adjustRightInd w:val="0"/>
        <w:rPr>
          <w:rFonts w:ascii="Verdana" w:hAnsi="Verdana" w:cs="Helvetica"/>
          <w:sz w:val="22"/>
          <w:szCs w:val="22"/>
          <w:lang w:val="en-GB"/>
        </w:rPr>
      </w:pPr>
      <w:r w:rsidRPr="00BC6E89">
        <w:rPr>
          <w:rFonts w:ascii="Verdana" w:hAnsi="Verdana" w:cs="Helvetica"/>
          <w:sz w:val="22"/>
          <w:szCs w:val="22"/>
          <w:lang w:val="fr-FR"/>
        </w:rPr>
        <w:t>La Commission européenne, les gouvernements allemand et canadien ont bien fait savoir dans </w:t>
      </w:r>
      <w:hyperlink r:id="rId10" w:history="1">
        <w:r w:rsidRPr="00BC6E89">
          <w:rPr>
            <w:rFonts w:ascii="Verdana" w:hAnsi="Verdana" w:cs="Helvetica"/>
            <w:color w:val="386EFF"/>
            <w:sz w:val="22"/>
            <w:szCs w:val="22"/>
            <w:u w:val="single" w:color="386EFF"/>
            <w:lang w:val="fr-FR"/>
          </w:rPr>
          <w:t>leur déclaration du 18 septembre qu’ils accueillaient positivement</w:t>
        </w:r>
      </w:hyperlink>
      <w:r w:rsidRPr="00BC6E89">
        <w:rPr>
          <w:rFonts w:ascii="Verdana" w:hAnsi="Verdana" w:cs="Helvetica"/>
          <w:sz w:val="22"/>
          <w:szCs w:val="22"/>
          <w:lang w:val="fr-FR"/>
        </w:rPr>
        <w:t xml:space="preserve"> les propositions de la DGB et de la CLC (datées du 15 septembre). </w:t>
      </w:r>
      <w:r w:rsidR="00D53B37" w:rsidRPr="00BC6E89">
        <w:rPr>
          <w:rFonts w:ascii="Verdana" w:hAnsi="Verdana" w:cs="Helvetica"/>
          <w:sz w:val="22"/>
          <w:szCs w:val="22"/>
          <w:lang w:val="fr-FR"/>
        </w:rPr>
        <w:t xml:space="preserve">Pourtant il est clair à la lecture du « final draft » que la Commission européenne et le Canada ont choisi </w:t>
      </w:r>
      <w:r w:rsidRPr="00BC6E89">
        <w:rPr>
          <w:rFonts w:ascii="Verdana" w:hAnsi="Verdana" w:cs="Helvetica"/>
          <w:sz w:val="22"/>
          <w:szCs w:val="22"/>
          <w:lang w:val="fr-FR"/>
        </w:rPr>
        <w:t>de ne pas prendre ces propositions de protocoles comme base de négociation</w:t>
      </w:r>
      <w:r w:rsidR="00D53B37" w:rsidRPr="00BC6E89">
        <w:rPr>
          <w:rFonts w:ascii="Verdana" w:hAnsi="Verdana" w:cs="Helvetica"/>
          <w:sz w:val="22"/>
          <w:szCs w:val="22"/>
          <w:lang w:val="fr-FR"/>
        </w:rPr>
        <w:t xml:space="preserve">. En </w:t>
      </w:r>
      <w:r w:rsidR="00D53B37" w:rsidRPr="00BC6E89">
        <w:rPr>
          <w:rFonts w:ascii="Verdana" w:hAnsi="Verdana" w:cs="Helvetica"/>
          <w:sz w:val="22"/>
          <w:szCs w:val="22"/>
          <w:lang w:val="fr-FR"/>
        </w:rPr>
        <w:lastRenderedPageBreak/>
        <w:t>effet, le document proposé par la Commission se définit lui-même comme</w:t>
      </w:r>
      <w:r w:rsidR="009A0C7F">
        <w:rPr>
          <w:rFonts w:ascii="Verdana" w:hAnsi="Verdana" w:cs="Helvetica"/>
          <w:sz w:val="22"/>
          <w:szCs w:val="22"/>
          <w:lang w:val="fr-FR"/>
        </w:rPr>
        <w:t xml:space="preserve"> une « </w:t>
      </w:r>
      <w:r w:rsidR="00974E97" w:rsidRPr="00BC6E89">
        <w:rPr>
          <w:rFonts w:ascii="Verdana" w:hAnsi="Verdana" w:cs="Helvetica"/>
          <w:sz w:val="22"/>
          <w:szCs w:val="22"/>
          <w:lang w:val="en-GB"/>
        </w:rPr>
        <w:t>Joint Interpretative Declaration</w:t>
      </w:r>
      <w:r w:rsidR="009A0C7F">
        <w:rPr>
          <w:rFonts w:ascii="Verdana" w:hAnsi="Verdana" w:cs="Helvetica"/>
          <w:sz w:val="22"/>
          <w:szCs w:val="22"/>
          <w:lang w:val="fr-FR"/>
        </w:rPr>
        <w:t> »</w:t>
      </w:r>
      <w:r w:rsidR="00974E97" w:rsidRPr="009A0C7F">
        <w:rPr>
          <w:rFonts w:ascii="Verdana" w:hAnsi="Verdana" w:cs="Helvetica"/>
          <w:sz w:val="22"/>
          <w:szCs w:val="22"/>
          <w:lang w:val="fr-FR"/>
        </w:rPr>
        <w:t xml:space="preserve"> qui ne fait que</w:t>
      </w:r>
      <w:r w:rsidR="00974E97" w:rsidRPr="00BC6E89">
        <w:rPr>
          <w:rFonts w:ascii="Verdana" w:hAnsi="Verdana" w:cs="Helvetica"/>
          <w:sz w:val="22"/>
          <w:szCs w:val="22"/>
          <w:lang w:val="en-GB"/>
        </w:rPr>
        <w:t xml:space="preserve"> “provide a clear and unambiguous statement of what Canada and the European Union and its Member States agreed in a number of CETA provisions”. </w:t>
      </w:r>
      <w:r w:rsidR="00A67A1C" w:rsidRPr="00BC6E89">
        <w:rPr>
          <w:rFonts w:ascii="Verdana" w:hAnsi="Verdana" w:cs="Helvetica"/>
          <w:sz w:val="22"/>
          <w:szCs w:val="22"/>
          <w:lang w:val="en-GB"/>
        </w:rPr>
        <w:t xml:space="preserve">Il a donc été choisi de ne pas négocier </w:t>
      </w:r>
      <w:r w:rsidR="00A67A1C" w:rsidRPr="00BC6E89">
        <w:rPr>
          <w:rFonts w:ascii="Verdana" w:hAnsi="Verdana" w:cs="Helvetica"/>
          <w:sz w:val="22"/>
          <w:szCs w:val="22"/>
          <w:lang w:val="fr-FR"/>
        </w:rPr>
        <w:t>de</w:t>
      </w:r>
      <w:r w:rsidR="009A0C7F">
        <w:rPr>
          <w:rFonts w:ascii="Verdana" w:hAnsi="Verdana" w:cs="Helvetica"/>
          <w:sz w:val="22"/>
          <w:szCs w:val="22"/>
          <w:lang w:val="fr-FR"/>
        </w:rPr>
        <w:t>s</w:t>
      </w:r>
      <w:r w:rsidR="00A67A1C" w:rsidRPr="00BC6E89">
        <w:rPr>
          <w:rFonts w:ascii="Verdana" w:hAnsi="Verdana" w:cs="Helvetica"/>
          <w:sz w:val="22"/>
          <w:szCs w:val="22"/>
          <w:lang w:val="fr-FR"/>
        </w:rPr>
        <w:t xml:space="preserve"> protocoles additionnels ni d’inclure les propositions substantielles avancées dans les protocoles proposés par la DGB et la CLC, ce qui est développé point par point ci-dessous.</w:t>
      </w:r>
    </w:p>
    <w:p w14:paraId="39CEDAF3" w14:textId="77777777" w:rsidR="00A67A1C" w:rsidRPr="00BC6E89" w:rsidRDefault="00A67A1C" w:rsidP="00421E0A">
      <w:pPr>
        <w:widowControl w:val="0"/>
        <w:autoSpaceDE w:val="0"/>
        <w:autoSpaceDN w:val="0"/>
        <w:adjustRightInd w:val="0"/>
        <w:rPr>
          <w:rFonts w:ascii="Verdana" w:hAnsi="Verdana" w:cs="Helvetica"/>
          <w:sz w:val="22"/>
          <w:szCs w:val="22"/>
          <w:lang w:val="en-GB"/>
        </w:rPr>
      </w:pPr>
    </w:p>
    <w:p w14:paraId="0A1A0937" w14:textId="5B623B7A" w:rsidR="00A67A1C" w:rsidRPr="00BC6E89" w:rsidRDefault="00A67A1C" w:rsidP="00421E0A">
      <w:pPr>
        <w:widowControl w:val="0"/>
        <w:autoSpaceDE w:val="0"/>
        <w:autoSpaceDN w:val="0"/>
        <w:adjustRightInd w:val="0"/>
        <w:rPr>
          <w:rFonts w:ascii="Verdana" w:hAnsi="Verdana" w:cs="Helvetica"/>
          <w:sz w:val="22"/>
          <w:szCs w:val="22"/>
          <w:lang w:val="en-GB"/>
        </w:rPr>
      </w:pPr>
      <w:r w:rsidRPr="00BC6E89">
        <w:rPr>
          <w:rFonts w:ascii="Verdana" w:hAnsi="Verdana" w:cs="Helvetica"/>
          <w:sz w:val="22"/>
          <w:szCs w:val="22"/>
          <w:lang w:val="en-GB"/>
        </w:rPr>
        <w:t xml:space="preserve">Cela confirme les déclarations des ministers Freeland et Gabriel qui </w:t>
      </w:r>
      <w:r w:rsidRPr="00BC6E89">
        <w:rPr>
          <w:rFonts w:ascii="Verdana" w:hAnsi="Verdana" w:cs="Helvetica"/>
          <w:sz w:val="22"/>
          <w:szCs w:val="22"/>
          <w:lang w:val="fr-FR"/>
        </w:rPr>
        <w:t xml:space="preserve">ont précisé que la déclaration permettrait de </w:t>
      </w:r>
      <w:hyperlink r:id="rId11" w:history="1">
        <w:r w:rsidRPr="00BC6E89">
          <w:rPr>
            <w:rStyle w:val="Lienhypertexte"/>
            <w:rFonts w:ascii="Verdana" w:hAnsi="Verdana" w:cs="Helvetica"/>
            <w:sz w:val="22"/>
            <w:szCs w:val="22"/>
            <w:lang w:val="fr-FR"/>
          </w:rPr>
          <w:t>clarifier ce qui se trouve déjà dans le texte</w:t>
        </w:r>
      </w:hyperlink>
      <w:r w:rsidRPr="00BC6E89">
        <w:rPr>
          <w:rFonts w:ascii="Verdana" w:hAnsi="Verdana" w:cs="Helvetica"/>
          <w:sz w:val="22"/>
          <w:szCs w:val="22"/>
          <w:lang w:val="fr-FR"/>
        </w:rPr>
        <w:t xml:space="preserve"> mais </w:t>
      </w:r>
      <w:hyperlink r:id="rId12" w:history="1">
        <w:r w:rsidRPr="00BC6E89">
          <w:rPr>
            <w:rStyle w:val="Lienhypertexte"/>
            <w:rFonts w:ascii="Verdana" w:hAnsi="Verdana" w:cs="Helvetica"/>
            <w:sz w:val="22"/>
            <w:szCs w:val="22"/>
            <w:lang w:val="fr-FR"/>
          </w:rPr>
          <w:t>qu’il ne s’agit aucunement d’une renégociation</w:t>
        </w:r>
      </w:hyperlink>
      <w:r w:rsidRPr="00BC6E89">
        <w:rPr>
          <w:rFonts w:ascii="Verdana" w:hAnsi="Verdana" w:cs="Helvetica"/>
          <w:sz w:val="22"/>
          <w:szCs w:val="22"/>
          <w:lang w:val="fr-FR"/>
        </w:rPr>
        <w:t xml:space="preserve"> du traité, il n’y a donc pas de volonté de modifier les effets du CETA, ce qui est pourtant bien la demande de la société civile et de plusieurs gouvernements et parlements.</w:t>
      </w:r>
    </w:p>
    <w:p w14:paraId="4FB266AE" w14:textId="77777777" w:rsidR="00A67A1C" w:rsidRPr="00BC6E89" w:rsidRDefault="00A67A1C" w:rsidP="00421E0A">
      <w:pPr>
        <w:widowControl w:val="0"/>
        <w:autoSpaceDE w:val="0"/>
        <w:autoSpaceDN w:val="0"/>
        <w:adjustRightInd w:val="0"/>
        <w:rPr>
          <w:rFonts w:ascii="Verdana" w:hAnsi="Verdana" w:cs="Helvetica"/>
          <w:sz w:val="22"/>
          <w:szCs w:val="22"/>
          <w:lang w:val="en-GB"/>
        </w:rPr>
      </w:pPr>
    </w:p>
    <w:p w14:paraId="5BCB9469" w14:textId="2AD097C8" w:rsidR="00421E0A" w:rsidRPr="00BC6E89" w:rsidRDefault="00421E0A" w:rsidP="00421E0A">
      <w:pPr>
        <w:widowControl w:val="0"/>
        <w:autoSpaceDE w:val="0"/>
        <w:autoSpaceDN w:val="0"/>
        <w:adjustRightInd w:val="0"/>
        <w:rPr>
          <w:rFonts w:ascii="Verdana" w:hAnsi="Verdana" w:cs="Helvetica"/>
          <w:sz w:val="22"/>
          <w:szCs w:val="22"/>
          <w:lang w:val="fr-FR"/>
        </w:rPr>
      </w:pPr>
      <w:r w:rsidRPr="00BC6E89">
        <w:rPr>
          <w:rFonts w:ascii="Verdana" w:hAnsi="Verdana" w:cs="Helvetica"/>
          <w:sz w:val="22"/>
          <w:szCs w:val="22"/>
          <w:lang w:val="fr-FR"/>
        </w:rPr>
        <w:t xml:space="preserve">Dans ces conditions, on ne peut pas considérer </w:t>
      </w:r>
      <w:r w:rsidR="00A67A1C" w:rsidRPr="00BC6E89">
        <w:rPr>
          <w:rFonts w:ascii="Verdana" w:hAnsi="Verdana" w:cs="Helvetica"/>
          <w:sz w:val="22"/>
          <w:szCs w:val="22"/>
          <w:lang w:val="fr-FR"/>
        </w:rPr>
        <w:t>que ce document démontre</w:t>
      </w:r>
      <w:r w:rsidRPr="00BC6E89">
        <w:rPr>
          <w:rFonts w:ascii="Verdana" w:hAnsi="Verdana" w:cs="Helvetica"/>
          <w:sz w:val="22"/>
          <w:szCs w:val="22"/>
          <w:lang w:val="fr-FR"/>
        </w:rPr>
        <w:t xml:space="preserve"> une réelle volonté de répondre, même partiellement, aux préoccupations exprimées par la société civile et certains </w:t>
      </w:r>
      <w:r w:rsidR="00A67A1C" w:rsidRPr="00BC6E89">
        <w:rPr>
          <w:rFonts w:ascii="Verdana" w:hAnsi="Verdana" w:cs="Helvetica"/>
          <w:sz w:val="22"/>
          <w:szCs w:val="22"/>
          <w:lang w:val="fr-FR"/>
        </w:rPr>
        <w:t xml:space="preserve">gouvernements et </w:t>
      </w:r>
      <w:r w:rsidRPr="00BC6E89">
        <w:rPr>
          <w:rFonts w:ascii="Verdana" w:hAnsi="Verdana" w:cs="Helvetica"/>
          <w:sz w:val="22"/>
          <w:szCs w:val="22"/>
          <w:lang w:val="fr-FR"/>
        </w:rPr>
        <w:t>parlements.</w:t>
      </w:r>
    </w:p>
    <w:p w14:paraId="09C549BA" w14:textId="77777777" w:rsidR="00D53B37" w:rsidRPr="00BC6E89" w:rsidRDefault="00D53B37" w:rsidP="00421E0A">
      <w:pPr>
        <w:widowControl w:val="0"/>
        <w:autoSpaceDE w:val="0"/>
        <w:autoSpaceDN w:val="0"/>
        <w:adjustRightInd w:val="0"/>
        <w:rPr>
          <w:rFonts w:ascii="Verdana" w:hAnsi="Verdana" w:cs="Helvetica"/>
          <w:sz w:val="22"/>
          <w:szCs w:val="22"/>
          <w:lang w:val="fr-FR"/>
        </w:rPr>
      </w:pPr>
    </w:p>
    <w:p w14:paraId="483B581A" w14:textId="27AFAC32" w:rsidR="00D53B37" w:rsidRDefault="00D53B37" w:rsidP="00421E0A">
      <w:pPr>
        <w:widowControl w:val="0"/>
        <w:autoSpaceDE w:val="0"/>
        <w:autoSpaceDN w:val="0"/>
        <w:adjustRightInd w:val="0"/>
        <w:rPr>
          <w:rFonts w:ascii="Verdana" w:hAnsi="Verdana" w:cs="Helvetica"/>
          <w:b/>
          <w:sz w:val="22"/>
          <w:szCs w:val="22"/>
          <w:lang w:val="fr-FR"/>
        </w:rPr>
      </w:pPr>
      <w:r w:rsidRPr="00BC6E89">
        <w:rPr>
          <w:rFonts w:ascii="Verdana" w:hAnsi="Verdana" w:cs="Helvetica"/>
          <w:b/>
          <w:sz w:val="22"/>
          <w:szCs w:val="22"/>
          <w:lang w:val="fr-FR"/>
        </w:rPr>
        <w:t>Portée juridique</w:t>
      </w:r>
    </w:p>
    <w:p w14:paraId="5F59E340" w14:textId="77777777" w:rsidR="00C80FF2" w:rsidRPr="00BC6E89" w:rsidRDefault="00C80FF2" w:rsidP="00421E0A">
      <w:pPr>
        <w:widowControl w:val="0"/>
        <w:autoSpaceDE w:val="0"/>
        <w:autoSpaceDN w:val="0"/>
        <w:adjustRightInd w:val="0"/>
        <w:rPr>
          <w:rFonts w:ascii="Verdana" w:hAnsi="Verdana" w:cs="Helvetica"/>
          <w:b/>
          <w:sz w:val="22"/>
          <w:szCs w:val="22"/>
          <w:lang w:val="fr-FR"/>
        </w:rPr>
      </w:pPr>
    </w:p>
    <w:p w14:paraId="3C6BFDFD" w14:textId="77777777" w:rsidR="00246E30" w:rsidRPr="00BC6E89" w:rsidRDefault="00246E30" w:rsidP="00246E30">
      <w:pPr>
        <w:rPr>
          <w:rFonts w:ascii="Verdana" w:hAnsi="Verdana" w:cs="Helvetica"/>
          <w:sz w:val="22"/>
          <w:szCs w:val="22"/>
          <w:lang w:val="fr-FR"/>
        </w:rPr>
      </w:pPr>
      <w:r w:rsidRPr="00BC6E89">
        <w:rPr>
          <w:rFonts w:ascii="Verdana" w:hAnsi="Verdana" w:cs="Helvetica"/>
          <w:sz w:val="22"/>
          <w:szCs w:val="22"/>
          <w:lang w:val="fr-FR"/>
        </w:rPr>
        <w:t xml:space="preserve">Les protocoles proposés par la DGB et la CLC contiennent des formulations comme </w:t>
      </w:r>
    </w:p>
    <w:p w14:paraId="71366968" w14:textId="77777777" w:rsidR="00246E30" w:rsidRPr="00BC6E89" w:rsidRDefault="00246E30" w:rsidP="00246E30">
      <w:pPr>
        <w:rPr>
          <w:rFonts w:ascii="Verdana" w:hAnsi="Verdana" w:cs="Helvetica"/>
          <w:sz w:val="22"/>
          <w:szCs w:val="22"/>
          <w:lang w:val="fr-FR"/>
        </w:rPr>
      </w:pPr>
    </w:p>
    <w:p w14:paraId="70A2E353" w14:textId="201C9B99" w:rsidR="00246E30" w:rsidRPr="00BC6E89" w:rsidRDefault="00246E30" w:rsidP="00246E30">
      <w:pPr>
        <w:rPr>
          <w:rFonts w:ascii="Verdana" w:hAnsi="Verdana"/>
          <w:i/>
          <w:color w:val="000000" w:themeColor="text1"/>
          <w:sz w:val="22"/>
          <w:szCs w:val="22"/>
          <w:u w:val="single"/>
          <w:lang w:val="fr-FR"/>
        </w:rPr>
      </w:pPr>
      <w:r w:rsidRPr="00BC6E89">
        <w:rPr>
          <w:rFonts w:ascii="Verdana" w:hAnsi="Verdana" w:cs="Helvetica"/>
          <w:sz w:val="22"/>
          <w:szCs w:val="22"/>
          <w:lang w:val="fr-FR"/>
        </w:rPr>
        <w:t>« </w:t>
      </w:r>
      <w:r w:rsidRPr="00BC6E89">
        <w:rPr>
          <w:rFonts w:ascii="Verdana" w:hAnsi="Verdana"/>
          <w:i/>
          <w:sz w:val="22"/>
          <w:szCs w:val="22"/>
        </w:rPr>
        <w:t>This Understanding constitutes an integral part of the Agreement. »</w:t>
      </w:r>
    </w:p>
    <w:p w14:paraId="70AA16D8" w14:textId="619D751E" w:rsidR="00D53B37" w:rsidRPr="00BC6E89" w:rsidRDefault="00D53B37" w:rsidP="00421E0A">
      <w:pPr>
        <w:widowControl w:val="0"/>
        <w:autoSpaceDE w:val="0"/>
        <w:autoSpaceDN w:val="0"/>
        <w:adjustRightInd w:val="0"/>
        <w:rPr>
          <w:rFonts w:ascii="Verdana" w:hAnsi="Verdana" w:cs="Helvetica"/>
          <w:sz w:val="22"/>
          <w:szCs w:val="22"/>
          <w:lang w:val="fr-FR"/>
        </w:rPr>
      </w:pPr>
    </w:p>
    <w:p w14:paraId="048A1274" w14:textId="28497A51" w:rsidR="00246E30" w:rsidRPr="00BC6E89" w:rsidRDefault="00246E30" w:rsidP="00421E0A">
      <w:pPr>
        <w:widowControl w:val="0"/>
        <w:autoSpaceDE w:val="0"/>
        <w:autoSpaceDN w:val="0"/>
        <w:adjustRightInd w:val="0"/>
        <w:rPr>
          <w:rFonts w:ascii="Verdana" w:hAnsi="Verdana" w:cs="Helvetica"/>
          <w:sz w:val="22"/>
          <w:szCs w:val="22"/>
          <w:lang w:val="fr-FR"/>
        </w:rPr>
      </w:pPr>
      <w:r w:rsidRPr="00BC6E89">
        <w:rPr>
          <w:rFonts w:ascii="Verdana" w:hAnsi="Verdana" w:cs="Helvetica"/>
          <w:sz w:val="22"/>
          <w:szCs w:val="22"/>
          <w:lang w:val="fr-FR"/>
        </w:rPr>
        <w:t>ce qui est a priori plus sécurisant que</w:t>
      </w:r>
    </w:p>
    <w:p w14:paraId="2A9B70F7" w14:textId="77777777" w:rsidR="00246E30" w:rsidRPr="00BC6E89" w:rsidRDefault="00246E30" w:rsidP="00421E0A">
      <w:pPr>
        <w:widowControl w:val="0"/>
        <w:autoSpaceDE w:val="0"/>
        <w:autoSpaceDN w:val="0"/>
        <w:adjustRightInd w:val="0"/>
        <w:rPr>
          <w:rFonts w:ascii="Verdana" w:hAnsi="Verdana" w:cs="Helvetica"/>
          <w:sz w:val="22"/>
          <w:szCs w:val="22"/>
          <w:lang w:val="fr-FR"/>
        </w:rPr>
      </w:pPr>
    </w:p>
    <w:p w14:paraId="330D93CF" w14:textId="0FDA1CEB" w:rsidR="00246E30" w:rsidRPr="00BC6E89" w:rsidRDefault="00246E30" w:rsidP="00246E30">
      <w:pPr>
        <w:widowControl w:val="0"/>
        <w:autoSpaceDE w:val="0"/>
        <w:autoSpaceDN w:val="0"/>
        <w:adjustRightInd w:val="0"/>
        <w:rPr>
          <w:rFonts w:ascii="Verdana" w:hAnsi="Verdana" w:cs="Helvetica"/>
          <w:bCs/>
          <w:i/>
          <w:sz w:val="22"/>
          <w:szCs w:val="22"/>
          <w:lang w:val="en-GB"/>
        </w:rPr>
      </w:pPr>
      <w:r w:rsidRPr="00BC6E89">
        <w:rPr>
          <w:rFonts w:ascii="Verdana" w:hAnsi="Verdana" w:cs="Helvetica"/>
          <w:i/>
          <w:sz w:val="22"/>
          <w:szCs w:val="22"/>
          <w:lang w:val="fr-FR"/>
        </w:rPr>
        <w:t>« </w:t>
      </w:r>
      <w:r w:rsidRPr="00BC6E89">
        <w:rPr>
          <w:rFonts w:ascii="Verdana" w:hAnsi="Verdana" w:cs="Helvetica"/>
          <w:i/>
          <w:sz w:val="22"/>
          <w:szCs w:val="22"/>
          <w:lang w:val="en-GB"/>
        </w:rPr>
        <w:t xml:space="preserve">The European Union and its Member States and Canada make the following Joint Interpretative Declaration </w:t>
      </w:r>
      <w:r w:rsidRPr="00BC6E89">
        <w:rPr>
          <w:rFonts w:ascii="Verdana" w:hAnsi="Verdana" w:cs="Helvetica"/>
          <w:b/>
          <w:i/>
          <w:sz w:val="22"/>
          <w:szCs w:val="22"/>
          <w:u w:val="single"/>
          <w:lang w:val="en-GB"/>
        </w:rPr>
        <w:t>at the time of signature</w:t>
      </w:r>
      <w:r w:rsidRPr="00BC6E89">
        <w:rPr>
          <w:rFonts w:ascii="Verdana" w:hAnsi="Verdana" w:cs="Helvetica"/>
          <w:i/>
          <w:sz w:val="22"/>
          <w:szCs w:val="22"/>
          <w:lang w:val="en-GB"/>
        </w:rPr>
        <w:t xml:space="preserve"> of the </w:t>
      </w:r>
      <w:r w:rsidRPr="00BC6E89">
        <w:rPr>
          <w:rFonts w:ascii="Verdana" w:hAnsi="Verdana" w:cs="Helvetica"/>
          <w:bCs/>
          <w:i/>
          <w:sz w:val="22"/>
          <w:szCs w:val="22"/>
          <w:lang w:val="en-GB"/>
        </w:rPr>
        <w:t xml:space="preserve">Comprehensive Economic and Trade Agreement (CETA).” </w:t>
      </w:r>
    </w:p>
    <w:p w14:paraId="25E62CF3" w14:textId="49FE1237" w:rsidR="00246E30" w:rsidRPr="00BC6E89" w:rsidRDefault="00246E30" w:rsidP="00421E0A">
      <w:pPr>
        <w:widowControl w:val="0"/>
        <w:autoSpaceDE w:val="0"/>
        <w:autoSpaceDN w:val="0"/>
        <w:adjustRightInd w:val="0"/>
        <w:rPr>
          <w:rFonts w:ascii="Verdana" w:hAnsi="Verdana" w:cs="Helvetica"/>
          <w:sz w:val="22"/>
          <w:szCs w:val="22"/>
          <w:lang w:val="fr-FR"/>
        </w:rPr>
      </w:pPr>
    </w:p>
    <w:p w14:paraId="3D9418DF" w14:textId="1A7E999A" w:rsidR="00246E30" w:rsidRPr="00BC6E89" w:rsidRDefault="00C979AE" w:rsidP="00421E0A">
      <w:pPr>
        <w:widowControl w:val="0"/>
        <w:autoSpaceDE w:val="0"/>
        <w:autoSpaceDN w:val="0"/>
        <w:adjustRightInd w:val="0"/>
        <w:rPr>
          <w:rFonts w:ascii="Verdana" w:hAnsi="Verdana" w:cs="Helvetica"/>
          <w:sz w:val="22"/>
          <w:szCs w:val="22"/>
          <w:lang w:val="fr-FR"/>
        </w:rPr>
      </w:pPr>
      <w:r w:rsidRPr="00BC6E89">
        <w:rPr>
          <w:rFonts w:ascii="Verdana" w:hAnsi="Verdana" w:cs="Helvetica"/>
          <w:sz w:val="22"/>
          <w:szCs w:val="22"/>
          <w:lang w:val="fr-FR"/>
        </w:rPr>
        <w:t>Une analyse de la portée juridique d’une telle déclaration vient d’ê</w:t>
      </w:r>
      <w:r w:rsidR="009953BB" w:rsidRPr="00BC6E89">
        <w:rPr>
          <w:rFonts w:ascii="Verdana" w:hAnsi="Verdana" w:cs="Helvetica"/>
          <w:sz w:val="22"/>
          <w:szCs w:val="22"/>
          <w:lang w:val="fr-FR"/>
        </w:rPr>
        <w:t>tre produite par un avocat d’un grand cabinet canadien spécialisé en droit commercial. L’avocat Steven Schrybman y précise qu’une déclaration conjointe peut expliquer le contexte d’un accord mais ne peut pas modifier la portée du traité de manière significative. Une telle déclaration « ne peut pas amender les dispositions substantielles du CETA ».</w:t>
      </w:r>
      <w:r w:rsidR="009953BB" w:rsidRPr="00BC6E89">
        <w:rPr>
          <w:rStyle w:val="Appelnotedebasdep"/>
          <w:rFonts w:ascii="Verdana" w:hAnsi="Verdana" w:cs="Helvetica"/>
          <w:sz w:val="22"/>
          <w:szCs w:val="22"/>
          <w:lang w:val="fr-FR"/>
        </w:rPr>
        <w:footnoteReference w:id="5"/>
      </w:r>
      <w:r w:rsidR="009953BB" w:rsidRPr="00BC6E89">
        <w:rPr>
          <w:rFonts w:ascii="Verdana" w:hAnsi="Verdana" w:cs="Helvetica"/>
          <w:sz w:val="22"/>
          <w:szCs w:val="22"/>
          <w:lang w:val="fr-FR"/>
        </w:rPr>
        <w:t xml:space="preserve"> Il précise que seuls des amendements au texte ou des réserves formelles inclues au traité peuvent modifier la signification des dispositions du traité, ce qui n’est pas le cas dans la déclaration proposée.</w:t>
      </w:r>
    </w:p>
    <w:p w14:paraId="1F5B9539" w14:textId="77777777" w:rsidR="00A67A1C" w:rsidRPr="00BC6E89" w:rsidRDefault="00A67A1C" w:rsidP="00421E0A">
      <w:pPr>
        <w:widowControl w:val="0"/>
        <w:autoSpaceDE w:val="0"/>
        <w:autoSpaceDN w:val="0"/>
        <w:adjustRightInd w:val="0"/>
        <w:rPr>
          <w:rFonts w:ascii="Verdana" w:hAnsi="Verdana" w:cs="Helvetica"/>
          <w:sz w:val="22"/>
          <w:szCs w:val="22"/>
          <w:lang w:val="fr-FR"/>
        </w:rPr>
      </w:pPr>
    </w:p>
    <w:p w14:paraId="1F4F8D11" w14:textId="13A4A69E" w:rsidR="0045660A" w:rsidRPr="000857CD" w:rsidRDefault="0045660A" w:rsidP="000857CD">
      <w:pPr>
        <w:pStyle w:val="Titre"/>
      </w:pPr>
      <w:bookmarkStart w:id="1" w:name="_Toc463603259"/>
      <w:r w:rsidRPr="000857CD">
        <w:t xml:space="preserve">Ce qui </w:t>
      </w:r>
      <w:r w:rsidR="00C84E84" w:rsidRPr="000857CD">
        <w:t xml:space="preserve">ne se trouve </w:t>
      </w:r>
      <w:r w:rsidRPr="000857CD">
        <w:t>pas dans cette déclaration</w:t>
      </w:r>
      <w:bookmarkEnd w:id="1"/>
    </w:p>
    <w:p w14:paraId="2564201A" w14:textId="77777777" w:rsidR="00C84E84" w:rsidRPr="00BC6E89" w:rsidRDefault="00C84E84" w:rsidP="0045660A">
      <w:pPr>
        <w:widowControl w:val="0"/>
        <w:autoSpaceDE w:val="0"/>
        <w:autoSpaceDN w:val="0"/>
        <w:adjustRightInd w:val="0"/>
        <w:rPr>
          <w:rFonts w:ascii="Verdana" w:hAnsi="Verdana" w:cs="Helvetica"/>
          <w:bCs/>
          <w:sz w:val="22"/>
          <w:szCs w:val="22"/>
          <w:lang w:val="fr-FR"/>
        </w:rPr>
      </w:pPr>
    </w:p>
    <w:p w14:paraId="0C0BB70A" w14:textId="77777777" w:rsidR="00C84E84" w:rsidRPr="00BC6E89" w:rsidRDefault="00C84E84" w:rsidP="0045660A">
      <w:pPr>
        <w:widowControl w:val="0"/>
        <w:autoSpaceDE w:val="0"/>
        <w:autoSpaceDN w:val="0"/>
        <w:adjustRightInd w:val="0"/>
        <w:rPr>
          <w:rFonts w:ascii="Verdana" w:hAnsi="Verdana" w:cs="Helvetica"/>
          <w:bCs/>
          <w:sz w:val="22"/>
          <w:szCs w:val="22"/>
          <w:lang w:val="fr-FR"/>
        </w:rPr>
      </w:pPr>
      <w:r w:rsidRPr="00BC6E89">
        <w:rPr>
          <w:rFonts w:ascii="Verdana" w:hAnsi="Verdana" w:cs="Helvetica"/>
          <w:bCs/>
          <w:sz w:val="22"/>
          <w:szCs w:val="22"/>
          <w:lang w:val="fr-FR"/>
        </w:rPr>
        <w:t>Une série de points de préoccupation sont simplement absents de cette déclaration interprétative, les risques qui y sont liés restent donc entiers en cas de mise en œuvre du CETA tel qu’il est proposé aujourd’hui.</w:t>
      </w:r>
    </w:p>
    <w:p w14:paraId="2D1F509B" w14:textId="3373ADCC" w:rsidR="00C84E84" w:rsidRPr="00BC6E89" w:rsidRDefault="00C84E84" w:rsidP="0045660A">
      <w:pPr>
        <w:widowControl w:val="0"/>
        <w:autoSpaceDE w:val="0"/>
        <w:autoSpaceDN w:val="0"/>
        <w:adjustRightInd w:val="0"/>
        <w:rPr>
          <w:rFonts w:ascii="Verdana" w:hAnsi="Verdana" w:cs="Helvetica"/>
          <w:bCs/>
          <w:sz w:val="22"/>
          <w:szCs w:val="22"/>
          <w:lang w:val="fr-FR"/>
        </w:rPr>
      </w:pPr>
      <w:r w:rsidRPr="00BC6E89">
        <w:rPr>
          <w:rFonts w:ascii="Verdana" w:hAnsi="Verdana" w:cs="Helvetica"/>
          <w:bCs/>
          <w:sz w:val="22"/>
          <w:szCs w:val="22"/>
          <w:lang w:val="fr-FR"/>
        </w:rPr>
        <w:tab/>
      </w:r>
    </w:p>
    <w:p w14:paraId="2E98B565" w14:textId="77DF373C" w:rsidR="00C84E84" w:rsidRPr="00BC6E89" w:rsidRDefault="00C84E84" w:rsidP="000857CD">
      <w:pPr>
        <w:pStyle w:val="Titre1"/>
        <w:rPr>
          <w:lang w:val="fr-FR"/>
        </w:rPr>
      </w:pPr>
      <w:r w:rsidRPr="00BC6E89">
        <w:rPr>
          <w:lang w:val="fr-FR"/>
        </w:rPr>
        <w:tab/>
      </w:r>
      <w:bookmarkStart w:id="2" w:name="_Toc463603260"/>
      <w:r w:rsidRPr="00BC6E89">
        <w:rPr>
          <w:lang w:val="fr-FR"/>
        </w:rPr>
        <w:t>Principe de précaution</w:t>
      </w:r>
      <w:bookmarkEnd w:id="2"/>
    </w:p>
    <w:p w14:paraId="5B90128A" w14:textId="3879A0EC" w:rsidR="00C84E84" w:rsidRPr="00BC6E89" w:rsidRDefault="00C84E84" w:rsidP="0045660A">
      <w:pPr>
        <w:widowControl w:val="0"/>
        <w:autoSpaceDE w:val="0"/>
        <w:autoSpaceDN w:val="0"/>
        <w:adjustRightInd w:val="0"/>
        <w:rPr>
          <w:rFonts w:ascii="Verdana" w:hAnsi="Verdana" w:cs="Helvetica"/>
          <w:bCs/>
          <w:sz w:val="22"/>
          <w:szCs w:val="22"/>
          <w:lang w:val="fr-FR"/>
        </w:rPr>
      </w:pPr>
      <w:r w:rsidRPr="00BC6E89">
        <w:rPr>
          <w:rFonts w:ascii="Verdana" w:hAnsi="Verdana" w:cs="Helvetica"/>
          <w:bCs/>
          <w:sz w:val="22"/>
          <w:szCs w:val="22"/>
          <w:lang w:val="fr-FR"/>
        </w:rPr>
        <w:t xml:space="preserve"> </w:t>
      </w:r>
    </w:p>
    <w:p w14:paraId="7CD500FE" w14:textId="77777777" w:rsidR="00C80C88" w:rsidRPr="00BC6E89" w:rsidRDefault="00CA396B" w:rsidP="0045660A">
      <w:pPr>
        <w:widowControl w:val="0"/>
        <w:autoSpaceDE w:val="0"/>
        <w:autoSpaceDN w:val="0"/>
        <w:adjustRightInd w:val="0"/>
        <w:rPr>
          <w:rFonts w:ascii="Verdana" w:hAnsi="Verdana" w:cs="Helvetica"/>
          <w:bCs/>
          <w:sz w:val="22"/>
          <w:szCs w:val="22"/>
          <w:lang w:val="fr-FR"/>
        </w:rPr>
      </w:pPr>
      <w:r w:rsidRPr="00BC6E89">
        <w:rPr>
          <w:rFonts w:ascii="Verdana" w:hAnsi="Verdana" w:cs="Helvetica"/>
          <w:bCs/>
          <w:sz w:val="22"/>
          <w:szCs w:val="22"/>
          <w:lang w:val="fr-FR"/>
        </w:rPr>
        <w:t xml:space="preserve">Le texte du CETA ne fait pas référence au principe de précaution, qui est pourtant </w:t>
      </w:r>
      <w:r w:rsidR="008A5A08" w:rsidRPr="00BC6E89">
        <w:rPr>
          <w:rFonts w:ascii="Verdana" w:hAnsi="Verdana" w:cs="Helvetica"/>
          <w:bCs/>
          <w:sz w:val="22"/>
          <w:szCs w:val="22"/>
          <w:lang w:val="fr-FR"/>
        </w:rPr>
        <w:t>absolument central</w:t>
      </w:r>
      <w:r w:rsidRPr="00BC6E89">
        <w:rPr>
          <w:rFonts w:ascii="Verdana" w:hAnsi="Verdana" w:cs="Helvetica"/>
          <w:bCs/>
          <w:sz w:val="22"/>
          <w:szCs w:val="22"/>
          <w:lang w:val="fr-FR"/>
        </w:rPr>
        <w:t xml:space="preserve"> dans notre système législatif.</w:t>
      </w:r>
      <w:r w:rsidR="008A5A08" w:rsidRPr="00BC6E89">
        <w:rPr>
          <w:rFonts w:ascii="Verdana" w:hAnsi="Verdana" w:cs="Helvetica"/>
          <w:bCs/>
          <w:sz w:val="22"/>
          <w:szCs w:val="22"/>
          <w:lang w:val="fr-FR"/>
        </w:rPr>
        <w:t xml:space="preserve"> Il est ouvertement ciblé par les </w:t>
      </w:r>
      <w:r w:rsidR="00C80C88" w:rsidRPr="00BC6E89">
        <w:rPr>
          <w:rFonts w:ascii="Verdana" w:hAnsi="Verdana" w:cs="Helvetica"/>
          <w:bCs/>
          <w:sz w:val="22"/>
          <w:szCs w:val="22"/>
          <w:lang w:val="fr-FR"/>
        </w:rPr>
        <w:t>partisans de ces traités</w:t>
      </w:r>
      <w:r w:rsidR="00C80C88" w:rsidRPr="00BC6E89">
        <w:rPr>
          <w:rStyle w:val="Appelnotedebasdep"/>
          <w:rFonts w:ascii="Verdana" w:hAnsi="Verdana" w:cs="Helvetica"/>
          <w:bCs/>
          <w:sz w:val="22"/>
          <w:szCs w:val="22"/>
          <w:lang w:val="fr-FR"/>
        </w:rPr>
        <w:footnoteReference w:id="6"/>
      </w:r>
      <w:r w:rsidR="00C80C88" w:rsidRPr="00BC6E89">
        <w:rPr>
          <w:rFonts w:ascii="Verdana" w:hAnsi="Verdana" w:cs="Helvetica"/>
          <w:bCs/>
          <w:sz w:val="22"/>
          <w:szCs w:val="22"/>
          <w:lang w:val="fr-FR"/>
        </w:rPr>
        <w:t xml:space="preserve">. </w:t>
      </w:r>
    </w:p>
    <w:p w14:paraId="51E4D11F" w14:textId="77777777" w:rsidR="00C80C88" w:rsidRPr="00BC6E89" w:rsidRDefault="00C80C88" w:rsidP="0045660A">
      <w:pPr>
        <w:widowControl w:val="0"/>
        <w:autoSpaceDE w:val="0"/>
        <w:autoSpaceDN w:val="0"/>
        <w:adjustRightInd w:val="0"/>
        <w:rPr>
          <w:rFonts w:ascii="Verdana" w:hAnsi="Verdana" w:cs="Helvetica"/>
          <w:bCs/>
          <w:sz w:val="22"/>
          <w:szCs w:val="22"/>
          <w:lang w:val="fr-FR"/>
        </w:rPr>
      </w:pPr>
    </w:p>
    <w:p w14:paraId="30027E79" w14:textId="5ADA248E" w:rsidR="00C80C88" w:rsidRPr="00BC6E89" w:rsidRDefault="00C80C88" w:rsidP="0045660A">
      <w:pPr>
        <w:widowControl w:val="0"/>
        <w:autoSpaceDE w:val="0"/>
        <w:autoSpaceDN w:val="0"/>
        <w:adjustRightInd w:val="0"/>
        <w:rPr>
          <w:rFonts w:ascii="Verdana" w:hAnsi="Verdana" w:cs="Helvetica"/>
          <w:bCs/>
          <w:sz w:val="22"/>
          <w:szCs w:val="22"/>
          <w:lang w:val="fr-FR"/>
        </w:rPr>
      </w:pPr>
      <w:r w:rsidRPr="00BC6E89">
        <w:rPr>
          <w:rFonts w:ascii="Verdana" w:hAnsi="Verdana" w:cs="Helvetica"/>
          <w:bCs/>
          <w:sz w:val="22"/>
          <w:szCs w:val="22"/>
          <w:lang w:val="fr-FR"/>
        </w:rPr>
        <w:t>Défini dans la déclaration du sommet de Rio</w:t>
      </w:r>
      <w:r w:rsidR="009A0C7F">
        <w:rPr>
          <w:rFonts w:ascii="Verdana" w:hAnsi="Verdana" w:cs="Helvetica"/>
          <w:bCs/>
          <w:sz w:val="22"/>
          <w:szCs w:val="22"/>
          <w:lang w:val="fr-FR"/>
        </w:rPr>
        <w:t xml:space="preserve"> de 1992</w:t>
      </w:r>
      <w:r w:rsidR="009A0C7F">
        <w:rPr>
          <w:rStyle w:val="Appelnotedebasdep"/>
          <w:rFonts w:ascii="Verdana" w:hAnsi="Verdana" w:cs="Helvetica"/>
          <w:bCs/>
          <w:sz w:val="22"/>
          <w:szCs w:val="22"/>
          <w:lang w:val="fr-FR"/>
        </w:rPr>
        <w:footnoteReference w:id="7"/>
      </w:r>
      <w:r w:rsidRPr="00BC6E89">
        <w:rPr>
          <w:rFonts w:ascii="Verdana" w:hAnsi="Verdana" w:cs="Helvetica"/>
          <w:bCs/>
          <w:sz w:val="22"/>
          <w:szCs w:val="22"/>
          <w:lang w:val="fr-FR"/>
        </w:rPr>
        <w:t xml:space="preserve">, ce principe permet de prendre des décisions politiques d’intérêt général même lorsque le débat scientifique n’aboutit pas à une certitude scientifique absolue quant aux risques liés </w:t>
      </w:r>
      <w:r w:rsidR="009A0C7F">
        <w:rPr>
          <w:rFonts w:ascii="Verdana" w:hAnsi="Verdana" w:cs="Helvetica"/>
          <w:bCs/>
          <w:sz w:val="22"/>
          <w:szCs w:val="22"/>
          <w:lang w:val="fr-FR"/>
        </w:rPr>
        <w:t>à un produit ou une pratique. Sachant que ce type de</w:t>
      </w:r>
      <w:r w:rsidRPr="00BC6E89">
        <w:rPr>
          <w:rFonts w:ascii="Verdana" w:hAnsi="Verdana" w:cs="Helvetica"/>
          <w:bCs/>
          <w:sz w:val="22"/>
          <w:szCs w:val="22"/>
          <w:lang w:val="fr-FR"/>
        </w:rPr>
        <w:t xml:space="preserve"> débat</w:t>
      </w:r>
      <w:r w:rsidR="009A0C7F">
        <w:rPr>
          <w:rFonts w:ascii="Verdana" w:hAnsi="Verdana" w:cs="Helvetica"/>
          <w:bCs/>
          <w:sz w:val="22"/>
          <w:szCs w:val="22"/>
          <w:lang w:val="fr-FR"/>
        </w:rPr>
        <w:t>s est bien souvent</w:t>
      </w:r>
      <w:r w:rsidRPr="00BC6E89">
        <w:rPr>
          <w:rFonts w:ascii="Verdana" w:hAnsi="Verdana" w:cs="Helvetica"/>
          <w:bCs/>
          <w:sz w:val="22"/>
          <w:szCs w:val="22"/>
          <w:lang w:val="fr-FR"/>
        </w:rPr>
        <w:t xml:space="preserve"> alimenté par des « contre-études scientifiques » financées par les industries qui ont un intérêt financier direct à perpétuer la vente de ces produits ou pratiques</w:t>
      </w:r>
      <w:r w:rsidR="009A0C7F">
        <w:rPr>
          <w:rFonts w:ascii="Verdana" w:hAnsi="Verdana" w:cs="Helvetica"/>
          <w:bCs/>
          <w:sz w:val="22"/>
          <w:szCs w:val="22"/>
          <w:lang w:val="fr-FR"/>
        </w:rPr>
        <w:t xml:space="preserve"> et à faire durer le débat scientifique indéfiniment</w:t>
      </w:r>
      <w:r w:rsidRPr="00BC6E89">
        <w:rPr>
          <w:rFonts w:ascii="Verdana" w:hAnsi="Verdana" w:cs="Helvetica"/>
          <w:bCs/>
          <w:sz w:val="22"/>
          <w:szCs w:val="22"/>
          <w:lang w:val="fr-FR"/>
        </w:rPr>
        <w:t>. C’est notamment sur base de ce principe que l’UE a envisagé, pour protéger la santé publique contre les perturbateurs endocriniens, d’interdire 31 produits pesticides, interdiction finalement abandonnée suite à des pressions de la Chambre de commerce américaine et du gouvernement américain sur la Commission européenne</w:t>
      </w:r>
      <w:r w:rsidRPr="00BC6E89">
        <w:rPr>
          <w:rStyle w:val="Appelnotedebasdep"/>
          <w:rFonts w:ascii="Verdana" w:hAnsi="Verdana" w:cs="Helvetica"/>
          <w:bCs/>
          <w:sz w:val="22"/>
          <w:szCs w:val="22"/>
          <w:lang w:val="fr-FR"/>
        </w:rPr>
        <w:footnoteReference w:id="8"/>
      </w:r>
      <w:r w:rsidRPr="00BC6E89">
        <w:rPr>
          <w:rFonts w:ascii="Verdana" w:hAnsi="Verdana" w:cs="Helvetica"/>
          <w:bCs/>
          <w:sz w:val="22"/>
          <w:szCs w:val="22"/>
          <w:lang w:val="fr-FR"/>
        </w:rPr>
        <w:t>.</w:t>
      </w:r>
    </w:p>
    <w:p w14:paraId="40DFD26C" w14:textId="77777777" w:rsidR="009A0C7F" w:rsidRPr="00BC6E89" w:rsidRDefault="009A0C7F" w:rsidP="0045660A">
      <w:pPr>
        <w:widowControl w:val="0"/>
        <w:autoSpaceDE w:val="0"/>
        <w:autoSpaceDN w:val="0"/>
        <w:adjustRightInd w:val="0"/>
        <w:rPr>
          <w:rFonts w:ascii="Verdana" w:hAnsi="Verdana" w:cs="Helvetica"/>
          <w:bCs/>
          <w:sz w:val="22"/>
          <w:szCs w:val="22"/>
          <w:lang w:val="fr-FR"/>
        </w:rPr>
      </w:pPr>
    </w:p>
    <w:p w14:paraId="16A1924C" w14:textId="2BB0A23B" w:rsidR="00CA396B" w:rsidRPr="00BC6E89" w:rsidRDefault="00CA396B" w:rsidP="0045660A">
      <w:pPr>
        <w:widowControl w:val="0"/>
        <w:autoSpaceDE w:val="0"/>
        <w:autoSpaceDN w:val="0"/>
        <w:adjustRightInd w:val="0"/>
        <w:rPr>
          <w:rFonts w:ascii="Verdana" w:hAnsi="Verdana" w:cs="Helvetica"/>
          <w:bCs/>
          <w:sz w:val="22"/>
          <w:szCs w:val="22"/>
          <w:lang w:val="fr-FR"/>
        </w:rPr>
      </w:pPr>
      <w:r w:rsidRPr="00BC6E89">
        <w:rPr>
          <w:rFonts w:ascii="Verdana" w:hAnsi="Verdana" w:cs="Helvetica"/>
          <w:bCs/>
          <w:sz w:val="22"/>
          <w:szCs w:val="22"/>
          <w:lang w:val="fr-FR"/>
        </w:rPr>
        <w:t>La DGB et la CLC avaient proposé une formulation permettant de faire primer ce principe essentiel sur les objectifs d’accroissement du commerce :</w:t>
      </w:r>
    </w:p>
    <w:p w14:paraId="324C7F36" w14:textId="77777777" w:rsidR="00CA396B" w:rsidRPr="00BC6E89" w:rsidRDefault="00CA396B" w:rsidP="0045660A">
      <w:pPr>
        <w:widowControl w:val="0"/>
        <w:autoSpaceDE w:val="0"/>
        <w:autoSpaceDN w:val="0"/>
        <w:adjustRightInd w:val="0"/>
        <w:rPr>
          <w:rFonts w:ascii="Verdana" w:hAnsi="Verdana" w:cs="Helvetica"/>
          <w:bCs/>
          <w:sz w:val="22"/>
          <w:szCs w:val="22"/>
          <w:lang w:val="fr-FR"/>
        </w:rPr>
      </w:pPr>
    </w:p>
    <w:p w14:paraId="1E2E3353" w14:textId="77777777" w:rsidR="00CA396B" w:rsidRPr="009A0C7F" w:rsidRDefault="00CA396B" w:rsidP="00CA396B">
      <w:pPr>
        <w:pStyle w:val="Default"/>
        <w:rPr>
          <w:rFonts w:ascii="Verdana" w:hAnsi="Verdana"/>
          <w:i/>
          <w:sz w:val="22"/>
          <w:szCs w:val="22"/>
          <w:lang w:val="en-GB"/>
        </w:rPr>
      </w:pPr>
      <w:r w:rsidRPr="009A0C7F">
        <w:rPr>
          <w:rFonts w:ascii="Verdana" w:hAnsi="Verdana"/>
          <w:b/>
          <w:bCs/>
          <w:i/>
          <w:sz w:val="22"/>
          <w:szCs w:val="22"/>
          <w:lang w:val="en-GB"/>
        </w:rPr>
        <w:t xml:space="preserve">Understanding on the Precautionary Principle </w:t>
      </w:r>
    </w:p>
    <w:p w14:paraId="26E14FE4" w14:textId="77777777" w:rsidR="00CA396B" w:rsidRPr="009A0C7F" w:rsidRDefault="00CA396B" w:rsidP="00CA396B">
      <w:pPr>
        <w:widowControl w:val="0"/>
        <w:autoSpaceDE w:val="0"/>
        <w:autoSpaceDN w:val="0"/>
        <w:adjustRightInd w:val="0"/>
        <w:rPr>
          <w:rFonts w:ascii="Verdana" w:hAnsi="Verdana"/>
          <w:i/>
          <w:sz w:val="22"/>
          <w:szCs w:val="22"/>
          <w:lang w:val="en-GB"/>
        </w:rPr>
      </w:pPr>
    </w:p>
    <w:p w14:paraId="3BB902EC" w14:textId="6D73BA6F" w:rsidR="00CA396B" w:rsidRPr="009A0C7F" w:rsidRDefault="00CA396B" w:rsidP="00CA396B">
      <w:pPr>
        <w:widowControl w:val="0"/>
        <w:autoSpaceDE w:val="0"/>
        <w:autoSpaceDN w:val="0"/>
        <w:adjustRightInd w:val="0"/>
        <w:rPr>
          <w:rFonts w:ascii="Verdana" w:hAnsi="Verdana" w:cs="Helvetica"/>
          <w:bCs/>
          <w:i/>
          <w:sz w:val="22"/>
          <w:szCs w:val="22"/>
          <w:lang w:val="en-GB"/>
        </w:rPr>
      </w:pPr>
      <w:r w:rsidRPr="009A0C7F">
        <w:rPr>
          <w:rFonts w:ascii="Verdana" w:hAnsi="Verdana"/>
          <w:i/>
          <w:sz w:val="22"/>
          <w:szCs w:val="22"/>
          <w:lang w:val="en-GB"/>
        </w:rPr>
        <w:t xml:space="preserve">1. The Parties come to the understanding that nothing in this Agreement shall be construed to undermine the precautionary principle prevailing as stated in Principle 15 of the Rio Declaration on Environment and Development and for Europe in particular in Article 191 AEUV. No part of the Agreement shall be inter-preted as promoting the science-based approach over the precautionary principle in Europe. Specifically, measures and regulations based on the precautionary principle cannot </w:t>
      </w:r>
      <w:r w:rsidRPr="009A0C7F">
        <w:rPr>
          <w:rFonts w:ascii="Verdana" w:hAnsi="Verdana"/>
          <w:i/>
          <w:sz w:val="22"/>
          <w:szCs w:val="22"/>
          <w:lang w:val="en-GB"/>
        </w:rPr>
        <w:lastRenderedPageBreak/>
        <w:t>be subject of disputes arising under Chapters 8 (Investment) and 29 (Dispute resolution).</w:t>
      </w:r>
    </w:p>
    <w:p w14:paraId="2C609EF0" w14:textId="77777777" w:rsidR="00CA396B" w:rsidRPr="009A0C7F" w:rsidRDefault="00CA396B" w:rsidP="0045660A">
      <w:pPr>
        <w:widowControl w:val="0"/>
        <w:autoSpaceDE w:val="0"/>
        <w:autoSpaceDN w:val="0"/>
        <w:adjustRightInd w:val="0"/>
        <w:rPr>
          <w:rFonts w:ascii="Verdana" w:hAnsi="Verdana" w:cs="Helvetica"/>
          <w:bCs/>
          <w:sz w:val="22"/>
          <w:szCs w:val="22"/>
          <w:lang w:val="en-GB"/>
        </w:rPr>
      </w:pPr>
    </w:p>
    <w:p w14:paraId="0BC438E0" w14:textId="3D595366" w:rsidR="00CA396B" w:rsidRPr="009A0C7F" w:rsidRDefault="00CA396B" w:rsidP="0045660A">
      <w:pPr>
        <w:widowControl w:val="0"/>
        <w:autoSpaceDE w:val="0"/>
        <w:autoSpaceDN w:val="0"/>
        <w:adjustRightInd w:val="0"/>
        <w:rPr>
          <w:rFonts w:ascii="Verdana" w:hAnsi="Verdana" w:cs="Helvetica"/>
          <w:bCs/>
          <w:i/>
          <w:sz w:val="22"/>
          <w:szCs w:val="22"/>
          <w:lang w:val="en-GB"/>
        </w:rPr>
      </w:pPr>
      <w:r w:rsidRPr="009A0C7F">
        <w:rPr>
          <w:rFonts w:ascii="Verdana" w:hAnsi="Verdana"/>
          <w:i/>
          <w:sz w:val="22"/>
          <w:szCs w:val="22"/>
          <w:lang w:val="en-GB"/>
        </w:rPr>
        <w:t>2. This understanding constitutes an integral part of the Agreement.</w:t>
      </w:r>
    </w:p>
    <w:p w14:paraId="4F762F79" w14:textId="77777777" w:rsidR="00CA396B" w:rsidRPr="00BC6E89" w:rsidRDefault="00CA396B" w:rsidP="0045660A">
      <w:pPr>
        <w:widowControl w:val="0"/>
        <w:autoSpaceDE w:val="0"/>
        <w:autoSpaceDN w:val="0"/>
        <w:adjustRightInd w:val="0"/>
        <w:rPr>
          <w:rFonts w:ascii="Verdana" w:hAnsi="Verdana" w:cs="Helvetica"/>
          <w:bCs/>
          <w:sz w:val="22"/>
          <w:szCs w:val="22"/>
          <w:lang w:val="fr-FR"/>
        </w:rPr>
      </w:pPr>
    </w:p>
    <w:p w14:paraId="2CC2B486" w14:textId="0457A1BB" w:rsidR="00CA396B" w:rsidRPr="00BC6E89" w:rsidRDefault="00CA396B" w:rsidP="0045660A">
      <w:pPr>
        <w:widowControl w:val="0"/>
        <w:autoSpaceDE w:val="0"/>
        <w:autoSpaceDN w:val="0"/>
        <w:adjustRightInd w:val="0"/>
        <w:rPr>
          <w:rFonts w:ascii="Verdana" w:hAnsi="Verdana" w:cs="Helvetica"/>
          <w:bCs/>
          <w:sz w:val="22"/>
          <w:szCs w:val="22"/>
          <w:lang w:val="fr-FR"/>
        </w:rPr>
      </w:pPr>
      <w:r w:rsidRPr="00BC6E89">
        <w:rPr>
          <w:rFonts w:ascii="Verdana" w:hAnsi="Verdana" w:cs="Helvetica"/>
          <w:bCs/>
          <w:sz w:val="22"/>
          <w:szCs w:val="22"/>
          <w:lang w:val="fr-FR"/>
        </w:rPr>
        <w:t>Malheureusement, la déclaration proposée par la Commission européenne ne fait aucune mention du principe de précaution.</w:t>
      </w:r>
    </w:p>
    <w:p w14:paraId="4494323A" w14:textId="77777777" w:rsidR="00CA396B" w:rsidRPr="00BC6E89" w:rsidRDefault="00CA396B" w:rsidP="0045660A">
      <w:pPr>
        <w:widowControl w:val="0"/>
        <w:autoSpaceDE w:val="0"/>
        <w:autoSpaceDN w:val="0"/>
        <w:adjustRightInd w:val="0"/>
        <w:rPr>
          <w:rFonts w:ascii="Verdana" w:hAnsi="Verdana" w:cs="Helvetica"/>
          <w:bCs/>
          <w:sz w:val="22"/>
          <w:szCs w:val="22"/>
          <w:lang w:val="fr-FR"/>
        </w:rPr>
      </w:pPr>
    </w:p>
    <w:p w14:paraId="17785CB7" w14:textId="7825F71C" w:rsidR="00A67A1C" w:rsidRPr="00BC6E89" w:rsidRDefault="00C84E84" w:rsidP="000857CD">
      <w:pPr>
        <w:pStyle w:val="Titre1"/>
        <w:ind w:firstLine="708"/>
        <w:rPr>
          <w:lang w:val="fr-FR"/>
        </w:rPr>
      </w:pPr>
      <w:bookmarkStart w:id="3" w:name="_Toc463603261"/>
      <w:r w:rsidRPr="00BC6E89">
        <w:rPr>
          <w:lang w:val="fr-FR"/>
        </w:rPr>
        <w:t>Protection contre les crises financières</w:t>
      </w:r>
      <w:bookmarkEnd w:id="3"/>
    </w:p>
    <w:p w14:paraId="4546211A" w14:textId="77777777" w:rsidR="00C80C88" w:rsidRPr="00BC6E89" w:rsidRDefault="00C80C88" w:rsidP="00C80C88">
      <w:pPr>
        <w:widowControl w:val="0"/>
        <w:autoSpaceDE w:val="0"/>
        <w:autoSpaceDN w:val="0"/>
        <w:adjustRightInd w:val="0"/>
        <w:rPr>
          <w:rFonts w:ascii="Verdana" w:hAnsi="Verdana" w:cs="Helvetica"/>
          <w:b/>
          <w:sz w:val="22"/>
          <w:szCs w:val="22"/>
          <w:lang w:val="fr-FR"/>
        </w:rPr>
      </w:pPr>
    </w:p>
    <w:p w14:paraId="2E2E3C18" w14:textId="77777777" w:rsidR="002834DD" w:rsidRPr="008817C1" w:rsidRDefault="002834DD" w:rsidP="002834DD">
      <w:pPr>
        <w:pStyle w:val="CorpsdetexteNoteSEF"/>
        <w:jc w:val="left"/>
        <w:rPr>
          <w:rFonts w:ascii="Verdana" w:eastAsiaTheme="minorEastAsia" w:hAnsi="Verdana" w:cs="Helvetica"/>
          <w:w w:val="100"/>
          <w:sz w:val="21"/>
          <w:szCs w:val="22"/>
          <w:lang w:val="fr-FR" w:eastAsia="fr-FR"/>
        </w:rPr>
      </w:pPr>
      <w:r w:rsidRPr="008817C1">
        <w:rPr>
          <w:rFonts w:ascii="Verdana" w:eastAsiaTheme="minorEastAsia" w:hAnsi="Verdana" w:cs="Helvetica"/>
          <w:w w:val="100"/>
          <w:sz w:val="21"/>
          <w:szCs w:val="22"/>
          <w:lang w:val="fr-FR" w:eastAsia="fr-FR"/>
        </w:rPr>
        <w:t>Le CETA interdit aux Etats de fixer une limite à la taille du bilan des institutions financières, ce qui empêchera ceux-ci d’exiger la scission de banques « too big to fail » (« trop grosses pour faire faillite »), réclamée y compris par certains économistes « mainstream ». Le sauvetage obligé de ces banques coûte très cher aux Etats et aux contribuables, comme l’a montré la crise de 2008.</w:t>
      </w:r>
    </w:p>
    <w:p w14:paraId="3EC4374A" w14:textId="77777777" w:rsidR="002834DD" w:rsidRPr="008817C1" w:rsidRDefault="002834DD" w:rsidP="002834DD">
      <w:pPr>
        <w:pStyle w:val="CorpsdetexteNoteSEF"/>
        <w:jc w:val="left"/>
        <w:rPr>
          <w:rFonts w:ascii="Verdana" w:eastAsiaTheme="minorEastAsia" w:hAnsi="Verdana" w:cs="Helvetica"/>
          <w:w w:val="100"/>
          <w:sz w:val="21"/>
          <w:szCs w:val="22"/>
          <w:lang w:val="fr-FR" w:eastAsia="fr-FR"/>
        </w:rPr>
      </w:pPr>
      <w:r w:rsidRPr="008817C1">
        <w:rPr>
          <w:rFonts w:ascii="Verdana" w:eastAsiaTheme="minorEastAsia" w:hAnsi="Verdana" w:cs="Helvetica"/>
          <w:w w:val="100"/>
          <w:sz w:val="21"/>
          <w:szCs w:val="22"/>
          <w:lang w:val="fr-FR" w:eastAsia="fr-FR"/>
        </w:rPr>
        <w:t>Le CETA interdit aux Etats de fixer une limite au volume des transactions opérées par les investisseurs financiers. Cette mesure limite la capacité à lutter contre la spéculation financière et pourrait avoir un impact sur la capacité des Etats à adopter une taxe sur les transactions financières (dite Tobin). Cette taxe constitue en effet une mesure indirecte de limitation du volume des transactions et pourrait être attaquée devant des tribunaux d’arbitrage.</w:t>
      </w:r>
    </w:p>
    <w:p w14:paraId="0889F22B" w14:textId="77777777" w:rsidR="002834DD" w:rsidRPr="008817C1" w:rsidRDefault="002834DD" w:rsidP="002834DD">
      <w:pPr>
        <w:pStyle w:val="CorpsdetexteNoteSEF"/>
        <w:jc w:val="left"/>
        <w:rPr>
          <w:rFonts w:ascii="Verdana" w:eastAsiaTheme="minorEastAsia" w:hAnsi="Verdana" w:cs="Helvetica"/>
          <w:w w:val="100"/>
          <w:sz w:val="21"/>
          <w:szCs w:val="22"/>
          <w:lang w:val="fr-FR" w:eastAsia="fr-FR"/>
        </w:rPr>
      </w:pPr>
      <w:r w:rsidRPr="008817C1">
        <w:rPr>
          <w:rFonts w:ascii="Verdana" w:eastAsiaTheme="minorEastAsia" w:hAnsi="Verdana" w:cs="Helvetica"/>
          <w:w w:val="100"/>
          <w:sz w:val="21"/>
          <w:szCs w:val="22"/>
          <w:lang w:val="fr-FR" w:eastAsia="fr-FR"/>
        </w:rPr>
        <w:t xml:space="preserve">Le CETA interdit aux Etats d’adopter des règles de contenu local (art. 8.5). Ceci pourrait limiter la promotion d’un système financier autocentré, privilégiant par exemple une activité de prêt vers une clientèle locale (entreprises ou particuliers). Cette interdiction peut aussi compliquer la tâche de contrôle des autorités, car une banque globalisée est plus difficile à contrôler qu’une banque qui développe une activité principalement locale.  </w:t>
      </w:r>
    </w:p>
    <w:p w14:paraId="7C6D8977" w14:textId="77777777" w:rsidR="002834DD" w:rsidRPr="00BC6E89" w:rsidRDefault="002834DD" w:rsidP="00BC6E89">
      <w:pPr>
        <w:widowControl w:val="0"/>
        <w:autoSpaceDE w:val="0"/>
        <w:autoSpaceDN w:val="0"/>
        <w:adjustRightInd w:val="0"/>
        <w:rPr>
          <w:rFonts w:ascii="Verdana" w:hAnsi="Verdana" w:cs="Helvetica"/>
          <w:sz w:val="21"/>
          <w:szCs w:val="22"/>
          <w:lang w:val="fr-FR"/>
        </w:rPr>
      </w:pPr>
      <w:r w:rsidRPr="00BC6E89">
        <w:rPr>
          <w:rFonts w:ascii="Verdana" w:hAnsi="Verdana" w:cs="Helvetica"/>
          <w:sz w:val="21"/>
          <w:szCs w:val="22"/>
          <w:lang w:val="fr-FR"/>
        </w:rPr>
        <w:t xml:space="preserve">Le CETA demande une libéralisation étendue des mouvements de capitaux : « Chaque partie devra permettre tous les transferts relatifs à un investissement à se faire sans restriction » (art. 8.10). Les Etats sont donc tenus d’autoriser les mouvements de capitaux, qu’ils soient entrants ou sortants, relatifs à des transactions sur des biens et services « réels » ou sur des transactions purement spéculatives (p.ex. sur des produits financiers dérivés). </w:t>
      </w:r>
    </w:p>
    <w:p w14:paraId="113F853B" w14:textId="77777777" w:rsidR="002834DD" w:rsidRDefault="002834DD" w:rsidP="00BC6E89">
      <w:pPr>
        <w:widowControl w:val="0"/>
        <w:autoSpaceDE w:val="0"/>
        <w:autoSpaceDN w:val="0"/>
        <w:adjustRightInd w:val="0"/>
        <w:rPr>
          <w:rFonts w:ascii="Verdana" w:hAnsi="Verdana" w:cs="Helvetica"/>
          <w:sz w:val="21"/>
          <w:szCs w:val="22"/>
          <w:lang w:val="fr-FR"/>
        </w:rPr>
      </w:pPr>
      <w:r w:rsidRPr="00BC6E89">
        <w:rPr>
          <w:rFonts w:ascii="Verdana" w:hAnsi="Verdana" w:cs="Helvetica"/>
          <w:sz w:val="21"/>
          <w:szCs w:val="22"/>
          <w:lang w:val="fr-FR"/>
        </w:rPr>
        <w:t xml:space="preserve">Des clauses de sauvegarde sont prévues, autorisant sous certaines conditions bien précises un Etat à réintroduire un contrôle des capitaux. Ces clauses n’ont une durée que temporaire et courte (essentiellement trois mois), ce qui ne répond pas aux besoins d’Etats fragilisés financièrement.  </w:t>
      </w:r>
    </w:p>
    <w:p w14:paraId="3055778E" w14:textId="77777777" w:rsidR="00BC6E89" w:rsidRPr="00BC6E89" w:rsidRDefault="00BC6E89" w:rsidP="00BC6E89">
      <w:pPr>
        <w:widowControl w:val="0"/>
        <w:autoSpaceDE w:val="0"/>
        <w:autoSpaceDN w:val="0"/>
        <w:adjustRightInd w:val="0"/>
        <w:rPr>
          <w:rFonts w:ascii="Verdana" w:hAnsi="Verdana" w:cs="Helvetica"/>
          <w:sz w:val="21"/>
          <w:szCs w:val="22"/>
          <w:lang w:val="fr-FR"/>
        </w:rPr>
      </w:pPr>
    </w:p>
    <w:p w14:paraId="4CE6EA98" w14:textId="68FBF045" w:rsidR="002834DD" w:rsidRDefault="002834DD" w:rsidP="00BC6E89">
      <w:pPr>
        <w:widowControl w:val="0"/>
        <w:autoSpaceDE w:val="0"/>
        <w:autoSpaceDN w:val="0"/>
        <w:adjustRightInd w:val="0"/>
        <w:rPr>
          <w:rFonts w:ascii="Verdana" w:hAnsi="Verdana" w:cs="Helvetica"/>
          <w:sz w:val="21"/>
          <w:szCs w:val="22"/>
          <w:lang w:val="fr-FR"/>
        </w:rPr>
      </w:pPr>
      <w:r w:rsidRPr="00BC6E89">
        <w:rPr>
          <w:rFonts w:ascii="Verdana" w:hAnsi="Verdana" w:cs="Helvetica"/>
          <w:sz w:val="21"/>
          <w:szCs w:val="22"/>
          <w:lang w:val="fr-FR"/>
        </w:rPr>
        <w:t xml:space="preserve">Comme les traités actuellement négociés visent à « inspirer » les négociations commerciales multilatérales (OMC), l’interdiction du contrôle des capitaux risque d’être promu au niveau international, un point qui pose particulièrement problème compte tenu de la fragilité financière de nombreux pays en développement (et même aujourd’hui de certains pays de la zone euro) ; la vision du CETA va aussi à l’encontre des recommandations des institutions internationales, qui se montrent plus positives </w:t>
      </w:r>
      <w:r w:rsidRPr="00BC6E89">
        <w:rPr>
          <w:rFonts w:ascii="Verdana" w:hAnsi="Verdana" w:cs="Helvetica"/>
          <w:sz w:val="21"/>
          <w:szCs w:val="22"/>
          <w:lang w:val="fr-FR"/>
        </w:rPr>
        <w:lastRenderedPageBreak/>
        <w:t>vis-à-vis des contrôles de capitaux depuis la crise de 2008</w:t>
      </w:r>
      <w:r w:rsidRPr="00BC6E89">
        <w:rPr>
          <w:rFonts w:cs="Helvetica"/>
          <w:sz w:val="21"/>
          <w:vertAlign w:val="superscript"/>
          <w:lang w:val="fr-FR"/>
        </w:rPr>
        <w:footnoteReference w:id="9"/>
      </w:r>
      <w:r w:rsidRPr="00BC6E89">
        <w:rPr>
          <w:rFonts w:ascii="Verdana" w:hAnsi="Verdana" w:cs="Helvetica"/>
          <w:sz w:val="21"/>
          <w:szCs w:val="22"/>
          <w:lang w:val="fr-FR"/>
        </w:rPr>
        <w:t xml:space="preserve">. </w:t>
      </w:r>
    </w:p>
    <w:p w14:paraId="23633784" w14:textId="77777777" w:rsidR="00BC6E89" w:rsidRPr="00BC6E89" w:rsidRDefault="00BC6E89" w:rsidP="00BC6E89">
      <w:pPr>
        <w:widowControl w:val="0"/>
        <w:autoSpaceDE w:val="0"/>
        <w:autoSpaceDN w:val="0"/>
        <w:adjustRightInd w:val="0"/>
        <w:rPr>
          <w:rFonts w:ascii="Verdana" w:hAnsi="Verdana" w:cs="Helvetica"/>
          <w:sz w:val="21"/>
          <w:szCs w:val="22"/>
          <w:lang w:val="fr-FR"/>
        </w:rPr>
      </w:pPr>
    </w:p>
    <w:p w14:paraId="2E70AE0D" w14:textId="0B775564" w:rsidR="00C80C88" w:rsidRPr="00BC6E89" w:rsidRDefault="002834DD" w:rsidP="00C80C88">
      <w:pPr>
        <w:widowControl w:val="0"/>
        <w:autoSpaceDE w:val="0"/>
        <w:autoSpaceDN w:val="0"/>
        <w:adjustRightInd w:val="0"/>
        <w:rPr>
          <w:rFonts w:ascii="Verdana" w:hAnsi="Verdana" w:cs="Helvetica"/>
          <w:sz w:val="21"/>
          <w:szCs w:val="22"/>
          <w:lang w:val="fr-FR"/>
        </w:rPr>
      </w:pPr>
      <w:r w:rsidRPr="00BC6E89">
        <w:rPr>
          <w:rFonts w:ascii="Verdana" w:hAnsi="Verdana" w:cs="Helvetica"/>
          <w:sz w:val="21"/>
          <w:szCs w:val="22"/>
          <w:lang w:val="fr-FR"/>
        </w:rPr>
        <w:t>Rien n’est prévu dans la déclaration conjointe pour remédier à ces biais préoccupants qui feront de CETA un instrument limitant notre capacité à prévenir de nouvelles crises financières.</w:t>
      </w:r>
    </w:p>
    <w:p w14:paraId="6385D372" w14:textId="77777777" w:rsidR="00C84E84" w:rsidRPr="00BC6E89" w:rsidRDefault="00C84E84" w:rsidP="00C84E84">
      <w:pPr>
        <w:widowControl w:val="0"/>
        <w:autoSpaceDE w:val="0"/>
        <w:autoSpaceDN w:val="0"/>
        <w:adjustRightInd w:val="0"/>
        <w:ind w:firstLine="708"/>
        <w:rPr>
          <w:rFonts w:ascii="Verdana" w:hAnsi="Verdana" w:cs="Helvetica"/>
          <w:b/>
          <w:sz w:val="21"/>
          <w:szCs w:val="22"/>
          <w:lang w:val="fr-FR"/>
        </w:rPr>
      </w:pPr>
    </w:p>
    <w:p w14:paraId="200DBA5F" w14:textId="096F24C1" w:rsidR="00C84E84" w:rsidRPr="00BC6E89" w:rsidRDefault="00C84E84" w:rsidP="000857CD">
      <w:pPr>
        <w:pStyle w:val="Titre1"/>
        <w:ind w:firstLine="708"/>
        <w:rPr>
          <w:lang w:val="fr-FR"/>
        </w:rPr>
      </w:pPr>
      <w:bookmarkStart w:id="4" w:name="_Toc463603262"/>
      <w:r w:rsidRPr="00BC6E89">
        <w:rPr>
          <w:lang w:val="fr-FR"/>
        </w:rPr>
        <w:t>Protection des données personnelles en ligne</w:t>
      </w:r>
      <w:bookmarkEnd w:id="4"/>
    </w:p>
    <w:p w14:paraId="70124F0A" w14:textId="77777777" w:rsidR="00C84E84" w:rsidRPr="00BC6E89" w:rsidRDefault="00C84E84" w:rsidP="00C84E84">
      <w:pPr>
        <w:widowControl w:val="0"/>
        <w:autoSpaceDE w:val="0"/>
        <w:autoSpaceDN w:val="0"/>
        <w:adjustRightInd w:val="0"/>
        <w:ind w:firstLine="708"/>
        <w:rPr>
          <w:rFonts w:ascii="Verdana" w:hAnsi="Verdana" w:cs="Helvetica"/>
          <w:b/>
          <w:sz w:val="22"/>
          <w:szCs w:val="22"/>
          <w:lang w:val="fr-FR"/>
        </w:rPr>
      </w:pPr>
    </w:p>
    <w:p w14:paraId="42637771" w14:textId="439FBA76" w:rsidR="002834DD" w:rsidRPr="00BC6E89" w:rsidRDefault="002834DD" w:rsidP="002834DD">
      <w:pPr>
        <w:widowControl w:val="0"/>
        <w:autoSpaceDE w:val="0"/>
        <w:autoSpaceDN w:val="0"/>
        <w:adjustRightInd w:val="0"/>
        <w:rPr>
          <w:rFonts w:ascii="Verdana" w:hAnsi="Verdana" w:cs="Helvetica"/>
          <w:sz w:val="22"/>
          <w:szCs w:val="22"/>
          <w:lang w:val="fr-FR"/>
        </w:rPr>
      </w:pPr>
      <w:r w:rsidRPr="00BC6E89">
        <w:rPr>
          <w:rFonts w:ascii="Verdana" w:hAnsi="Verdana" w:cs="Helvetica"/>
          <w:sz w:val="22"/>
          <w:szCs w:val="22"/>
          <w:lang w:val="fr-FR"/>
        </w:rPr>
        <w:t>Nous partageons constamment des parts de nos vies sur internet. Nous nous sentons libres de faire cela parce que nous pensons que nous pouvons encore préserver une certaine intimité et de garder un contrôle de ce que nous partageons. Les gouvernements ont une obligation morale et légale de protéger notre vie privée, prévenir les abus et préserver un climat de confiance. Cela se fait à travers des lois. De nos jours, notre vie privée en ligne et la protection de nos renseignements personnels sont menacés de manières de plus en plus « créatives » par celles et ceux qui voudraient vendre nos données privées. Un de ces moyens peut être trouvés le CETA</w:t>
      </w:r>
      <w:r w:rsidR="006E1151" w:rsidRPr="00BC6E89">
        <w:rPr>
          <w:rFonts w:ascii="Verdana" w:hAnsi="Verdana" w:cs="Helvetica"/>
          <w:sz w:val="22"/>
          <w:szCs w:val="22"/>
          <w:lang w:val="fr-FR"/>
        </w:rPr>
        <w:t xml:space="preserve">, qui touche </w:t>
      </w:r>
      <w:r w:rsidRPr="00BC6E89">
        <w:rPr>
          <w:rFonts w:ascii="Verdana" w:hAnsi="Verdana" w:cs="Helvetica"/>
          <w:sz w:val="22"/>
          <w:szCs w:val="22"/>
          <w:lang w:val="fr-FR"/>
        </w:rPr>
        <w:t>à la vie privée et la protection des données, ainsi que d'autres droits fondamentaux.</w:t>
      </w:r>
    </w:p>
    <w:p w14:paraId="7CEA0DB4" w14:textId="77777777" w:rsidR="002834DD" w:rsidRPr="00BC6E89" w:rsidRDefault="002834DD" w:rsidP="002834DD">
      <w:pPr>
        <w:widowControl w:val="0"/>
        <w:autoSpaceDE w:val="0"/>
        <w:autoSpaceDN w:val="0"/>
        <w:adjustRightInd w:val="0"/>
        <w:rPr>
          <w:rFonts w:ascii="Verdana" w:hAnsi="Verdana" w:cs="Helvetica"/>
          <w:sz w:val="22"/>
          <w:szCs w:val="22"/>
          <w:lang w:val="fr-FR"/>
        </w:rPr>
      </w:pPr>
    </w:p>
    <w:p w14:paraId="3A1CA28F" w14:textId="715C1827" w:rsidR="002834DD" w:rsidRPr="00BC6E89" w:rsidRDefault="002834DD" w:rsidP="002834DD">
      <w:pPr>
        <w:widowControl w:val="0"/>
        <w:autoSpaceDE w:val="0"/>
        <w:autoSpaceDN w:val="0"/>
        <w:adjustRightInd w:val="0"/>
        <w:rPr>
          <w:rFonts w:ascii="Verdana" w:hAnsi="Verdana" w:cs="Helvetica"/>
          <w:sz w:val="22"/>
          <w:szCs w:val="22"/>
          <w:lang w:val="fr-FR"/>
        </w:rPr>
      </w:pPr>
      <w:r w:rsidRPr="00BC6E89">
        <w:rPr>
          <w:rFonts w:ascii="Verdana" w:hAnsi="Verdana" w:cs="Helvetica"/>
          <w:sz w:val="22"/>
          <w:szCs w:val="22"/>
          <w:lang w:val="fr-FR"/>
        </w:rPr>
        <w:t xml:space="preserve">Il y a quinze ans, l'Union européenne a officiellement reconnu que le Canada </w:t>
      </w:r>
      <w:r w:rsidR="006E1151" w:rsidRPr="00BC6E89">
        <w:rPr>
          <w:rFonts w:ascii="Verdana" w:hAnsi="Verdana" w:cs="Helvetica"/>
          <w:sz w:val="22"/>
          <w:szCs w:val="22"/>
          <w:lang w:val="fr-FR"/>
        </w:rPr>
        <w:t xml:space="preserve">offrait </w:t>
      </w:r>
      <w:r w:rsidRPr="00BC6E89">
        <w:rPr>
          <w:rFonts w:ascii="Verdana" w:hAnsi="Verdana" w:cs="Helvetica"/>
          <w:sz w:val="22"/>
          <w:szCs w:val="22"/>
          <w:lang w:val="fr-FR"/>
        </w:rPr>
        <w:t xml:space="preserve">aux citoyens européens un niveau adéquat de protection de leur vie privée et des renseignements personnels, ce qui a permis </w:t>
      </w:r>
      <w:r w:rsidR="006E1151" w:rsidRPr="00BC6E89">
        <w:rPr>
          <w:rFonts w:ascii="Verdana" w:hAnsi="Verdana" w:cs="Helvetica"/>
          <w:sz w:val="22"/>
          <w:szCs w:val="22"/>
          <w:lang w:val="fr-FR"/>
        </w:rPr>
        <w:t xml:space="preserve">d’exporter des données de l'UE </w:t>
      </w:r>
      <w:r w:rsidRPr="00BC6E89">
        <w:rPr>
          <w:rFonts w:ascii="Verdana" w:hAnsi="Verdana" w:cs="Helvetica"/>
          <w:sz w:val="22"/>
          <w:szCs w:val="22"/>
          <w:lang w:val="fr-FR"/>
        </w:rPr>
        <w:t>au Canada sans restrictions</w:t>
      </w:r>
      <w:r w:rsidR="006E1151" w:rsidRPr="00BC6E89">
        <w:rPr>
          <w:rFonts w:ascii="Verdana" w:hAnsi="Verdana" w:cs="Helvetica"/>
          <w:sz w:val="22"/>
          <w:szCs w:val="22"/>
          <w:lang w:val="fr-FR"/>
        </w:rPr>
        <w:t xml:space="preserve"> particulières</w:t>
      </w:r>
      <w:r w:rsidRPr="00BC6E89">
        <w:rPr>
          <w:rFonts w:ascii="Verdana" w:hAnsi="Verdana" w:cs="Helvetica"/>
          <w:sz w:val="22"/>
          <w:szCs w:val="22"/>
          <w:lang w:val="fr-FR"/>
        </w:rPr>
        <w:t>. Toutefois, la Cour de justice européenne (CJUE) a récemment précisé dans l'affaire Schrems que cela signifie que les pays non membres de l'UE doivent fournir une protection non seulement «</w:t>
      </w:r>
      <w:r w:rsidR="006E1151" w:rsidRPr="00BC6E89">
        <w:rPr>
          <w:rFonts w:ascii="Verdana" w:hAnsi="Verdana" w:cs="Helvetica"/>
          <w:sz w:val="22"/>
          <w:szCs w:val="22"/>
          <w:lang w:val="fr-FR"/>
        </w:rPr>
        <w:t xml:space="preserve"> </w:t>
      </w:r>
      <w:r w:rsidRPr="00BC6E89">
        <w:rPr>
          <w:rFonts w:ascii="Verdana" w:hAnsi="Verdana" w:cs="Helvetica"/>
          <w:sz w:val="22"/>
          <w:szCs w:val="22"/>
          <w:lang w:val="fr-FR"/>
        </w:rPr>
        <w:t>adéquate</w:t>
      </w:r>
      <w:r w:rsidR="006E1151" w:rsidRPr="00BC6E89">
        <w:rPr>
          <w:rFonts w:ascii="Verdana" w:hAnsi="Verdana" w:cs="Helvetica"/>
          <w:sz w:val="22"/>
          <w:szCs w:val="22"/>
          <w:lang w:val="fr-FR"/>
        </w:rPr>
        <w:t xml:space="preserve"> </w:t>
      </w:r>
      <w:r w:rsidRPr="00BC6E89">
        <w:rPr>
          <w:rFonts w:ascii="Verdana" w:hAnsi="Verdana" w:cs="Helvetica"/>
          <w:sz w:val="22"/>
          <w:szCs w:val="22"/>
          <w:lang w:val="fr-FR"/>
        </w:rPr>
        <w:t xml:space="preserve">», mais essentiellement équivalente </w:t>
      </w:r>
      <w:r w:rsidR="006E1151" w:rsidRPr="00BC6E89">
        <w:rPr>
          <w:rFonts w:ascii="Verdana" w:hAnsi="Verdana" w:cs="Helvetica"/>
          <w:sz w:val="22"/>
          <w:szCs w:val="22"/>
          <w:lang w:val="fr-FR"/>
        </w:rPr>
        <w:t xml:space="preserve">à celle offerte par </w:t>
      </w:r>
      <w:r w:rsidRPr="00BC6E89">
        <w:rPr>
          <w:rFonts w:ascii="Verdana" w:hAnsi="Verdana" w:cs="Helvetica"/>
          <w:sz w:val="22"/>
          <w:szCs w:val="22"/>
          <w:lang w:val="fr-FR"/>
        </w:rPr>
        <w:t>l'UE.</w:t>
      </w:r>
    </w:p>
    <w:p w14:paraId="2EC5597D" w14:textId="77777777" w:rsidR="002834DD" w:rsidRPr="00BC6E89" w:rsidRDefault="002834DD" w:rsidP="002834DD">
      <w:pPr>
        <w:widowControl w:val="0"/>
        <w:autoSpaceDE w:val="0"/>
        <w:autoSpaceDN w:val="0"/>
        <w:adjustRightInd w:val="0"/>
        <w:rPr>
          <w:rFonts w:ascii="Verdana" w:hAnsi="Verdana" w:cs="Helvetica"/>
          <w:sz w:val="22"/>
          <w:szCs w:val="22"/>
          <w:lang w:val="fr-FR"/>
        </w:rPr>
      </w:pPr>
    </w:p>
    <w:p w14:paraId="6406D711" w14:textId="2AB3C6CF" w:rsidR="002834DD" w:rsidRPr="00BC6E89" w:rsidRDefault="006E1151" w:rsidP="002834DD">
      <w:pPr>
        <w:widowControl w:val="0"/>
        <w:autoSpaceDE w:val="0"/>
        <w:autoSpaceDN w:val="0"/>
        <w:adjustRightInd w:val="0"/>
        <w:rPr>
          <w:rFonts w:ascii="Verdana" w:hAnsi="Verdana" w:cs="Helvetica"/>
          <w:sz w:val="22"/>
          <w:szCs w:val="22"/>
          <w:lang w:val="fr-FR"/>
        </w:rPr>
      </w:pPr>
      <w:r w:rsidRPr="00BC6E89">
        <w:rPr>
          <w:rFonts w:ascii="Verdana" w:hAnsi="Verdana" w:cs="Helvetica"/>
          <w:sz w:val="22"/>
          <w:szCs w:val="22"/>
          <w:lang w:val="fr-FR"/>
        </w:rPr>
        <w:t xml:space="preserve">Grâce </w:t>
      </w:r>
      <w:r w:rsidR="002834DD" w:rsidRPr="00BC6E89">
        <w:rPr>
          <w:rFonts w:ascii="Verdana" w:hAnsi="Verdana" w:cs="Helvetica"/>
          <w:sz w:val="22"/>
          <w:szCs w:val="22"/>
          <w:lang w:val="fr-FR"/>
        </w:rPr>
        <w:t xml:space="preserve">aux révélations Snowden, il a été prouvé que le Canada mène des activités de surveillance de masse au sein </w:t>
      </w:r>
      <w:r w:rsidRPr="00BC6E89">
        <w:rPr>
          <w:rFonts w:ascii="Verdana" w:hAnsi="Verdana" w:cs="Helvetica"/>
          <w:sz w:val="22"/>
          <w:szCs w:val="22"/>
          <w:lang w:val="fr-FR"/>
        </w:rPr>
        <w:t xml:space="preserve">du programme appelé </w:t>
      </w:r>
      <w:r w:rsidR="002834DD" w:rsidRPr="00BC6E89">
        <w:rPr>
          <w:rFonts w:ascii="Verdana" w:hAnsi="Verdana" w:cs="Helvetica"/>
          <w:sz w:val="22"/>
          <w:szCs w:val="22"/>
          <w:lang w:val="fr-FR"/>
        </w:rPr>
        <w:t>«</w:t>
      </w:r>
      <w:r w:rsidRPr="00BC6E89">
        <w:rPr>
          <w:rFonts w:ascii="Verdana" w:hAnsi="Verdana" w:cs="Helvetica"/>
          <w:sz w:val="22"/>
          <w:szCs w:val="22"/>
          <w:lang w:val="fr-FR"/>
        </w:rPr>
        <w:t xml:space="preserve"> </w:t>
      </w:r>
      <w:r w:rsidR="002834DD" w:rsidRPr="00BC6E89">
        <w:rPr>
          <w:rFonts w:ascii="Verdana" w:hAnsi="Verdana" w:cs="Helvetica"/>
          <w:sz w:val="22"/>
          <w:szCs w:val="22"/>
          <w:lang w:val="fr-FR"/>
        </w:rPr>
        <w:t>Five Eyes</w:t>
      </w:r>
      <w:r w:rsidRPr="00BC6E89">
        <w:rPr>
          <w:rFonts w:ascii="Verdana" w:hAnsi="Verdana" w:cs="Helvetica"/>
          <w:sz w:val="22"/>
          <w:szCs w:val="22"/>
          <w:lang w:val="fr-FR"/>
        </w:rPr>
        <w:t xml:space="preserve"> </w:t>
      </w:r>
      <w:r w:rsidR="002834DD" w:rsidRPr="00BC6E89">
        <w:rPr>
          <w:rFonts w:ascii="Verdana" w:hAnsi="Verdana" w:cs="Helvetica"/>
          <w:sz w:val="22"/>
          <w:szCs w:val="22"/>
          <w:lang w:val="fr-FR"/>
        </w:rPr>
        <w:t xml:space="preserve">». Si </w:t>
      </w:r>
      <w:r w:rsidRPr="00BC6E89">
        <w:rPr>
          <w:rFonts w:ascii="Verdana" w:hAnsi="Verdana" w:cs="Helvetica"/>
          <w:sz w:val="22"/>
          <w:szCs w:val="22"/>
          <w:lang w:val="fr-FR"/>
        </w:rPr>
        <w:t>ces faits étaient porté</w:t>
      </w:r>
      <w:r w:rsidR="002834DD" w:rsidRPr="00BC6E89">
        <w:rPr>
          <w:rFonts w:ascii="Verdana" w:hAnsi="Verdana" w:cs="Helvetica"/>
          <w:sz w:val="22"/>
          <w:szCs w:val="22"/>
          <w:lang w:val="fr-FR"/>
        </w:rPr>
        <w:t>s devant les tribunaux, comme l'étudiant autrichien Max Schrems a fait avec l'accord UE-États-Unis sur le transfert des données personnelles (l ' «</w:t>
      </w:r>
      <w:r w:rsidRPr="00BC6E89">
        <w:rPr>
          <w:rFonts w:ascii="Verdana" w:hAnsi="Verdana" w:cs="Helvetica"/>
          <w:sz w:val="22"/>
          <w:szCs w:val="22"/>
          <w:lang w:val="fr-FR"/>
        </w:rPr>
        <w:t xml:space="preserve"> </w:t>
      </w:r>
      <w:r w:rsidR="002834DD" w:rsidRPr="00BC6E89">
        <w:rPr>
          <w:rFonts w:ascii="Verdana" w:hAnsi="Verdana" w:cs="Helvetica"/>
          <w:sz w:val="22"/>
          <w:szCs w:val="22"/>
          <w:lang w:val="fr-FR"/>
        </w:rPr>
        <w:t>accord Safe Harbor</w:t>
      </w:r>
      <w:r w:rsidRPr="00BC6E89">
        <w:rPr>
          <w:rFonts w:ascii="Verdana" w:hAnsi="Verdana" w:cs="Helvetica"/>
          <w:sz w:val="22"/>
          <w:szCs w:val="22"/>
          <w:lang w:val="fr-FR"/>
        </w:rPr>
        <w:t xml:space="preserve"> </w:t>
      </w:r>
      <w:r w:rsidR="002834DD" w:rsidRPr="00BC6E89">
        <w:rPr>
          <w:rFonts w:ascii="Verdana" w:hAnsi="Verdana" w:cs="Helvetica"/>
          <w:sz w:val="22"/>
          <w:szCs w:val="22"/>
          <w:lang w:val="fr-FR"/>
        </w:rPr>
        <w:t xml:space="preserve">»), </w:t>
      </w:r>
      <w:r w:rsidRPr="00BC6E89">
        <w:rPr>
          <w:rFonts w:ascii="Verdana" w:hAnsi="Verdana" w:cs="Helvetica"/>
          <w:sz w:val="22"/>
          <w:szCs w:val="22"/>
          <w:lang w:val="fr-FR"/>
        </w:rPr>
        <w:t>l’accord de reconnaissance donné par l'UE pourrait être renversé</w:t>
      </w:r>
      <w:r w:rsidR="002834DD" w:rsidRPr="00BC6E89">
        <w:rPr>
          <w:rFonts w:ascii="Verdana" w:hAnsi="Verdana" w:cs="Helvetica"/>
          <w:sz w:val="22"/>
          <w:szCs w:val="22"/>
          <w:lang w:val="fr-FR"/>
        </w:rPr>
        <w:t xml:space="preserve">. Toutefois, si </w:t>
      </w:r>
      <w:r w:rsidRPr="00BC6E89">
        <w:rPr>
          <w:rFonts w:ascii="Verdana" w:hAnsi="Verdana" w:cs="Helvetica"/>
          <w:sz w:val="22"/>
          <w:szCs w:val="22"/>
          <w:lang w:val="fr-FR"/>
        </w:rPr>
        <w:t xml:space="preserve">le CETA </w:t>
      </w:r>
      <w:r w:rsidR="002834DD" w:rsidRPr="00BC6E89">
        <w:rPr>
          <w:rFonts w:ascii="Verdana" w:hAnsi="Verdana" w:cs="Helvetica"/>
          <w:sz w:val="22"/>
          <w:szCs w:val="22"/>
          <w:lang w:val="fr-FR"/>
        </w:rPr>
        <w:t xml:space="preserve">est ratifié, l'UE </w:t>
      </w:r>
      <w:r w:rsidRPr="00BC6E89">
        <w:rPr>
          <w:rFonts w:ascii="Verdana" w:hAnsi="Verdana" w:cs="Helvetica"/>
          <w:sz w:val="22"/>
          <w:szCs w:val="22"/>
          <w:lang w:val="fr-FR"/>
        </w:rPr>
        <w:t xml:space="preserve">se verra interdire </w:t>
      </w:r>
      <w:r w:rsidR="002834DD" w:rsidRPr="00BC6E89">
        <w:rPr>
          <w:rFonts w:ascii="Verdana" w:hAnsi="Verdana" w:cs="Helvetica"/>
          <w:sz w:val="22"/>
          <w:szCs w:val="22"/>
          <w:lang w:val="fr-FR"/>
        </w:rPr>
        <w:t>de protéger les données personnelles de cette façon.</w:t>
      </w:r>
    </w:p>
    <w:p w14:paraId="75758C07" w14:textId="1FA29D6C" w:rsidR="002834DD" w:rsidRPr="00BC6E89" w:rsidRDefault="006E1151" w:rsidP="002834DD">
      <w:pPr>
        <w:widowControl w:val="0"/>
        <w:autoSpaceDE w:val="0"/>
        <w:autoSpaceDN w:val="0"/>
        <w:adjustRightInd w:val="0"/>
        <w:rPr>
          <w:rFonts w:ascii="Verdana" w:hAnsi="Verdana" w:cs="Helvetica"/>
          <w:sz w:val="22"/>
          <w:szCs w:val="22"/>
          <w:lang w:val="fr-FR"/>
        </w:rPr>
      </w:pPr>
      <w:r w:rsidRPr="00BC6E89">
        <w:rPr>
          <w:rFonts w:ascii="Verdana" w:hAnsi="Verdana" w:cs="Helvetica"/>
          <w:sz w:val="22"/>
          <w:szCs w:val="22"/>
          <w:lang w:val="fr-FR"/>
        </w:rPr>
        <w:t>Le CETA</w:t>
      </w:r>
      <w:r w:rsidR="002834DD" w:rsidRPr="00BC6E89">
        <w:rPr>
          <w:rFonts w:ascii="Verdana" w:hAnsi="Verdana" w:cs="Helvetica"/>
          <w:sz w:val="22"/>
          <w:szCs w:val="22"/>
          <w:lang w:val="fr-FR"/>
        </w:rPr>
        <w:t xml:space="preserve"> ne permet pas à la suspension du transfert de données d'un pays à l'autre. S'il a été prouvé à la Cour que le Canada a </w:t>
      </w:r>
      <w:r w:rsidRPr="00BC6E89">
        <w:rPr>
          <w:rFonts w:ascii="Verdana" w:hAnsi="Verdana" w:cs="Helvetica"/>
          <w:sz w:val="22"/>
          <w:szCs w:val="22"/>
          <w:lang w:val="fr-FR"/>
        </w:rPr>
        <w:t xml:space="preserve">violé les droits des citoyens concernant la vie privée et </w:t>
      </w:r>
      <w:r w:rsidR="002834DD" w:rsidRPr="00BC6E89">
        <w:rPr>
          <w:rFonts w:ascii="Verdana" w:hAnsi="Verdana" w:cs="Helvetica"/>
          <w:sz w:val="22"/>
          <w:szCs w:val="22"/>
          <w:lang w:val="fr-FR"/>
        </w:rPr>
        <w:t xml:space="preserve">la protection des données personnelles, l'UE serait empêché d'assurer que le Canada accorde un niveau de protection adéquat. </w:t>
      </w:r>
      <w:r w:rsidRPr="00BC6E89">
        <w:rPr>
          <w:rFonts w:ascii="Verdana" w:hAnsi="Verdana" w:cs="Helvetica"/>
          <w:sz w:val="22"/>
          <w:szCs w:val="22"/>
          <w:lang w:val="fr-FR"/>
        </w:rPr>
        <w:t xml:space="preserve">En effet, les droits fondamentaux dans le CETA font l’objet de sauvegardes mais ces sauvegardes sont subordonnées aux autres dispositions du CETA. Le CETA prévoit que des standards internationaux en matière de protection des données doivent être appliqués, mais ces standards internationaux existants sont largement moins protecteurs que les standards européens. Enfin, le forum de coopération réglementaire permettra aux lobbyistes de trouver un nouveau cadre où faire </w:t>
      </w:r>
      <w:r w:rsidRPr="00BC6E89">
        <w:rPr>
          <w:rFonts w:ascii="Verdana" w:hAnsi="Verdana" w:cs="Helvetica"/>
          <w:sz w:val="22"/>
          <w:szCs w:val="22"/>
          <w:lang w:val="fr-FR"/>
        </w:rPr>
        <w:lastRenderedPageBreak/>
        <w:t>entendre leurs arguments sur le fait que le commerce et l’innovation sont minés par la protection des droits fondamentaux</w:t>
      </w:r>
      <w:r w:rsidR="002834DD" w:rsidRPr="00BC6E89">
        <w:rPr>
          <w:rFonts w:ascii="Verdana" w:hAnsi="Verdana" w:cs="Helvetica"/>
          <w:sz w:val="22"/>
          <w:szCs w:val="22"/>
          <w:lang w:val="fr-FR"/>
        </w:rPr>
        <w:t>.</w:t>
      </w:r>
      <w:r w:rsidR="002834DD" w:rsidRPr="00BC6E89">
        <w:rPr>
          <w:rStyle w:val="Appelnotedebasdep"/>
          <w:rFonts w:ascii="Verdana" w:hAnsi="Verdana" w:cs="Helvetica"/>
          <w:sz w:val="22"/>
          <w:szCs w:val="22"/>
          <w:lang w:val="fr-FR"/>
        </w:rPr>
        <w:footnoteReference w:id="10"/>
      </w:r>
      <w:r w:rsidRPr="00BC6E89">
        <w:rPr>
          <w:rFonts w:ascii="Verdana" w:hAnsi="Verdana" w:cs="Helvetica"/>
          <w:sz w:val="22"/>
          <w:szCs w:val="22"/>
          <w:lang w:val="fr-FR"/>
        </w:rPr>
        <w:t xml:space="preserve"> </w:t>
      </w:r>
    </w:p>
    <w:p w14:paraId="7EB17031" w14:textId="77777777" w:rsidR="00C80C88" w:rsidRPr="00BC6E89" w:rsidRDefault="00C80C88" w:rsidP="002834DD">
      <w:pPr>
        <w:widowControl w:val="0"/>
        <w:autoSpaceDE w:val="0"/>
        <w:autoSpaceDN w:val="0"/>
        <w:adjustRightInd w:val="0"/>
        <w:rPr>
          <w:rFonts w:ascii="Verdana" w:hAnsi="Verdana" w:cs="Helvetica"/>
          <w:b/>
          <w:sz w:val="22"/>
          <w:szCs w:val="22"/>
          <w:lang w:val="fr-FR"/>
        </w:rPr>
      </w:pPr>
    </w:p>
    <w:p w14:paraId="5DC2F11E" w14:textId="38FA65D3" w:rsidR="006E1151" w:rsidRPr="00BC6E89" w:rsidRDefault="006E1151" w:rsidP="002834DD">
      <w:pPr>
        <w:widowControl w:val="0"/>
        <w:autoSpaceDE w:val="0"/>
        <w:autoSpaceDN w:val="0"/>
        <w:adjustRightInd w:val="0"/>
        <w:rPr>
          <w:rFonts w:ascii="Verdana" w:hAnsi="Verdana" w:cs="Helvetica"/>
          <w:sz w:val="22"/>
          <w:szCs w:val="22"/>
          <w:lang w:val="fr-FR"/>
        </w:rPr>
      </w:pPr>
      <w:r w:rsidRPr="00BC6E89">
        <w:rPr>
          <w:rFonts w:ascii="Verdana" w:hAnsi="Verdana" w:cs="Helvetica"/>
          <w:sz w:val="22"/>
          <w:szCs w:val="22"/>
          <w:lang w:val="fr-FR"/>
        </w:rPr>
        <w:t>La déclaration n’offre aucune réponse satisfaisante à cet état de fait.</w:t>
      </w:r>
    </w:p>
    <w:p w14:paraId="7C13905A" w14:textId="77777777" w:rsidR="002834DD" w:rsidRPr="00BC6E89" w:rsidRDefault="002834DD" w:rsidP="002834DD">
      <w:pPr>
        <w:widowControl w:val="0"/>
        <w:autoSpaceDE w:val="0"/>
        <w:autoSpaceDN w:val="0"/>
        <w:adjustRightInd w:val="0"/>
        <w:rPr>
          <w:rFonts w:ascii="Verdana" w:hAnsi="Verdana" w:cs="Helvetica"/>
          <w:b/>
          <w:sz w:val="22"/>
          <w:szCs w:val="22"/>
          <w:lang w:val="fr-FR"/>
        </w:rPr>
      </w:pPr>
    </w:p>
    <w:p w14:paraId="07E1A5CE" w14:textId="016E4749" w:rsidR="00C84E84" w:rsidRPr="00BC6E89" w:rsidRDefault="00C80C88" w:rsidP="000857CD">
      <w:pPr>
        <w:pStyle w:val="Titre1"/>
        <w:ind w:firstLine="708"/>
        <w:rPr>
          <w:lang w:val="fr-FR"/>
        </w:rPr>
      </w:pPr>
      <w:bookmarkStart w:id="5" w:name="_Toc463603263"/>
      <w:r w:rsidRPr="00BC6E89">
        <w:rPr>
          <w:lang w:val="fr-FR"/>
        </w:rPr>
        <w:t>Exception agricole et inondation de viande canadienne</w:t>
      </w:r>
      <w:bookmarkEnd w:id="5"/>
    </w:p>
    <w:p w14:paraId="274AECAF" w14:textId="77777777" w:rsidR="006E1151" w:rsidRPr="00BC6E89" w:rsidRDefault="006E1151" w:rsidP="006E1151">
      <w:pPr>
        <w:widowControl w:val="0"/>
        <w:autoSpaceDE w:val="0"/>
        <w:autoSpaceDN w:val="0"/>
        <w:adjustRightInd w:val="0"/>
        <w:rPr>
          <w:rFonts w:ascii="Verdana" w:hAnsi="Verdana" w:cs="Helvetica"/>
          <w:b/>
          <w:sz w:val="22"/>
          <w:szCs w:val="22"/>
          <w:lang w:val="fr-FR"/>
        </w:rPr>
      </w:pPr>
    </w:p>
    <w:p w14:paraId="0066C587" w14:textId="6125CFFF" w:rsidR="006E1151" w:rsidRPr="000857CD" w:rsidRDefault="006E1151" w:rsidP="006E1151">
      <w:pPr>
        <w:widowControl w:val="0"/>
        <w:autoSpaceDE w:val="0"/>
        <w:autoSpaceDN w:val="0"/>
        <w:adjustRightInd w:val="0"/>
        <w:rPr>
          <w:rFonts w:ascii="Verdana" w:hAnsi="Verdana" w:cs="Helvetica"/>
          <w:sz w:val="22"/>
          <w:szCs w:val="22"/>
          <w:lang w:val="fr-FR"/>
        </w:rPr>
      </w:pPr>
      <w:r w:rsidRPr="000857CD">
        <w:rPr>
          <w:rFonts w:ascii="Verdana" w:hAnsi="Verdana" w:cs="Helvetica"/>
          <w:sz w:val="22"/>
          <w:szCs w:val="22"/>
          <w:lang w:val="fr-FR"/>
        </w:rPr>
        <w:t xml:space="preserve">La Fédération wallonne de l’agriculture (FWA) </w:t>
      </w:r>
      <w:r w:rsidRPr="000857CD">
        <w:rPr>
          <w:rFonts w:ascii="Verdana" w:hAnsi="Verdana" w:cs="Calibri"/>
          <w:sz w:val="22"/>
          <w:szCs w:val="22"/>
          <w:lang w:val="fr-FR"/>
        </w:rPr>
        <w:t xml:space="preserve">a établi </w:t>
      </w:r>
      <w:hyperlink r:id="rId13" w:history="1">
        <w:r w:rsidRPr="000857CD">
          <w:rPr>
            <w:rFonts w:ascii="Verdana" w:hAnsi="Verdana" w:cs="Calibri"/>
            <w:color w:val="0000FF"/>
            <w:sz w:val="22"/>
            <w:szCs w:val="22"/>
            <w:u w:val="single" w:color="0000FF"/>
            <w:lang w:val="fr-FR"/>
          </w:rPr>
          <w:t>des critères clairs quant au TTIP</w:t>
        </w:r>
      </w:hyperlink>
      <w:r w:rsidRPr="000857CD">
        <w:rPr>
          <w:rStyle w:val="Appelnotedebasdep"/>
          <w:rFonts w:ascii="Verdana" w:hAnsi="Verdana" w:cs="Calibri"/>
          <w:sz w:val="22"/>
          <w:szCs w:val="22"/>
          <w:lang w:val="fr-FR"/>
        </w:rPr>
        <w:footnoteReference w:id="11"/>
      </w:r>
      <w:r w:rsidRPr="000857CD">
        <w:rPr>
          <w:rFonts w:ascii="Verdana" w:hAnsi="Verdana" w:cs="Calibri"/>
          <w:sz w:val="22"/>
          <w:szCs w:val="22"/>
          <w:lang w:val="fr-FR"/>
        </w:rPr>
        <w:t xml:space="preserve">, dont la négociation est encore en cours, il faudra donc juger sur pièce le traité une fois conclu. Entre-temps, l’autre traité transatlantique, le CETA, que d’aucun considère comme le « cheval de Troie » du TTIP car il en comporterait déjà bon nombre des impacts pressentis, et la FWA considère que le critères définis pour le TTIP s’appliquent également au CETA. Ces critères ne sont pas rencontrés par le CETA, ce qui en fait un accord </w:t>
      </w:r>
      <w:r w:rsidR="005902B1" w:rsidRPr="000857CD">
        <w:rPr>
          <w:rFonts w:ascii="Verdana" w:hAnsi="Verdana" w:cs="Calibri"/>
          <w:sz w:val="22"/>
          <w:szCs w:val="22"/>
          <w:lang w:val="fr-FR"/>
        </w:rPr>
        <w:t>conclu au détriment des agriculteurs. La déclaration proposée ne fait aucunement mention de cet état de fait et n’apporte aucune réponse aux préoccupations des agriculteurs.</w:t>
      </w:r>
      <w:r w:rsidRPr="000857CD">
        <w:rPr>
          <w:rFonts w:ascii="Verdana" w:hAnsi="Verdana" w:cs="Calibri"/>
          <w:sz w:val="22"/>
          <w:szCs w:val="22"/>
          <w:lang w:val="fr-FR"/>
        </w:rPr>
        <w:t xml:space="preserve"> </w:t>
      </w:r>
    </w:p>
    <w:p w14:paraId="766BF961" w14:textId="77777777" w:rsidR="006E1151" w:rsidRPr="000857CD" w:rsidRDefault="006E1151" w:rsidP="00C84E84">
      <w:pPr>
        <w:widowControl w:val="0"/>
        <w:autoSpaceDE w:val="0"/>
        <w:autoSpaceDN w:val="0"/>
        <w:adjustRightInd w:val="0"/>
        <w:ind w:firstLine="708"/>
        <w:rPr>
          <w:rFonts w:ascii="Verdana" w:hAnsi="Verdana" w:cs="Helvetica"/>
          <w:b/>
          <w:sz w:val="22"/>
          <w:szCs w:val="22"/>
          <w:lang w:val="fr-FR"/>
        </w:rPr>
      </w:pPr>
    </w:p>
    <w:p w14:paraId="7951C350" w14:textId="1BFD84B2" w:rsidR="006E1151" w:rsidRPr="000857CD" w:rsidRDefault="005902B1" w:rsidP="005902B1">
      <w:pPr>
        <w:pStyle w:val="Pardeliste"/>
        <w:widowControl w:val="0"/>
        <w:numPr>
          <w:ilvl w:val="0"/>
          <w:numId w:val="2"/>
        </w:numPr>
        <w:autoSpaceDE w:val="0"/>
        <w:autoSpaceDN w:val="0"/>
        <w:adjustRightInd w:val="0"/>
        <w:rPr>
          <w:rFonts w:ascii="Verdana" w:hAnsi="Verdana" w:cs="Times New Roman"/>
          <w:sz w:val="22"/>
          <w:szCs w:val="22"/>
          <w:lang w:val="fr-FR"/>
        </w:rPr>
      </w:pPr>
      <w:r w:rsidRPr="000857CD">
        <w:rPr>
          <w:rFonts w:ascii="Verdana" w:hAnsi="Verdana" w:cs="Arial"/>
          <w:i/>
          <w:color w:val="363840"/>
          <w:sz w:val="22"/>
          <w:szCs w:val="22"/>
          <w:lang w:val="fr-FR"/>
        </w:rPr>
        <w:t>L’agriculture</w:t>
      </w:r>
      <w:r w:rsidR="006E1151" w:rsidRPr="000857CD">
        <w:rPr>
          <w:rFonts w:ascii="Verdana" w:hAnsi="Verdana" w:cs="Arial"/>
          <w:i/>
          <w:color w:val="363840"/>
          <w:sz w:val="22"/>
          <w:szCs w:val="22"/>
          <w:lang w:val="fr-FR"/>
        </w:rPr>
        <w:t xml:space="preserve"> européenne ne peut en aucune manière être la variable d’ajustement de négociations plus larges même si d’autres secteurs de notre économie sont </w:t>
      </w:r>
      <w:r w:rsidRPr="000857CD">
        <w:rPr>
          <w:rFonts w:ascii="Verdana" w:hAnsi="Verdana" w:cs="Arial"/>
          <w:i/>
          <w:color w:val="363840"/>
          <w:sz w:val="22"/>
          <w:szCs w:val="22"/>
          <w:lang w:val="fr-FR"/>
        </w:rPr>
        <w:t>demandeurs</w:t>
      </w:r>
      <w:r w:rsidRPr="000857CD">
        <w:rPr>
          <w:rFonts w:ascii="Verdana" w:hAnsi="Verdana" w:cs="Arial"/>
          <w:color w:val="363840"/>
          <w:sz w:val="22"/>
          <w:szCs w:val="22"/>
          <w:lang w:val="fr-FR"/>
        </w:rPr>
        <w:t xml:space="preserve"> ;</w:t>
      </w:r>
    </w:p>
    <w:p w14:paraId="4466513C" w14:textId="27226938" w:rsidR="005902B1" w:rsidRPr="000857CD" w:rsidRDefault="006E1151" w:rsidP="006E1151">
      <w:pPr>
        <w:widowControl w:val="0"/>
        <w:autoSpaceDE w:val="0"/>
        <w:autoSpaceDN w:val="0"/>
        <w:adjustRightInd w:val="0"/>
        <w:rPr>
          <w:rFonts w:ascii="Verdana" w:eastAsia="MS Mincho" w:hAnsi="Verdana" w:cs="MS Mincho"/>
          <w:color w:val="363840"/>
          <w:sz w:val="22"/>
          <w:szCs w:val="22"/>
          <w:lang w:val="fr-FR"/>
        </w:rPr>
      </w:pPr>
      <w:r w:rsidRPr="000857CD">
        <w:rPr>
          <w:rFonts w:ascii="Verdana" w:hAnsi="Verdana" w:cs="Calibri"/>
          <w:sz w:val="22"/>
          <w:szCs w:val="22"/>
          <w:lang w:val="fr-FR"/>
        </w:rPr>
        <w:t>Cela pourrait bien être le cas, quand on voit notamment l’o</w:t>
      </w:r>
      <w:r w:rsidR="005902B1" w:rsidRPr="000857CD">
        <w:rPr>
          <w:rFonts w:ascii="Verdana" w:hAnsi="Verdana" w:cs="Calibri"/>
          <w:sz w:val="22"/>
          <w:szCs w:val="22"/>
          <w:lang w:val="fr-FR"/>
        </w:rPr>
        <w:t>u</w:t>
      </w:r>
      <w:r w:rsidRPr="000857CD">
        <w:rPr>
          <w:rFonts w:ascii="Verdana" w:hAnsi="Verdana" w:cs="Calibri"/>
          <w:sz w:val="22"/>
          <w:szCs w:val="22"/>
          <w:lang w:val="fr-FR"/>
        </w:rPr>
        <w:t>verture de contingent</w:t>
      </w:r>
      <w:r w:rsidR="005902B1" w:rsidRPr="000857CD">
        <w:rPr>
          <w:rFonts w:ascii="Verdana" w:hAnsi="Verdana" w:cs="Calibri"/>
          <w:sz w:val="22"/>
          <w:szCs w:val="22"/>
          <w:lang w:val="fr-FR"/>
        </w:rPr>
        <w:t>s</w:t>
      </w:r>
      <w:r w:rsidRPr="000857CD">
        <w:rPr>
          <w:rFonts w:ascii="Verdana" w:hAnsi="Verdana" w:cs="Calibri"/>
          <w:sz w:val="22"/>
          <w:szCs w:val="22"/>
          <w:lang w:val="fr-FR"/>
        </w:rPr>
        <w:t xml:space="preserve"> supplémentaires pour </w:t>
      </w:r>
      <w:hyperlink r:id="rId14" w:history="1">
        <w:r w:rsidRPr="000857CD">
          <w:rPr>
            <w:rFonts w:ascii="Verdana" w:hAnsi="Verdana" w:cs="Calibri"/>
            <w:color w:val="0000FF"/>
            <w:sz w:val="22"/>
            <w:szCs w:val="22"/>
            <w:u w:val="single" w:color="0000FF"/>
            <w:lang w:val="fr-FR"/>
          </w:rPr>
          <w:t>l’importation de 65.000 tonnes de viande bovine supplémentaires vers l’Europe prévue dans CETA, qui justifie l’opposition d’Interbev en France</w:t>
        </w:r>
      </w:hyperlink>
      <w:r w:rsidR="005902B1" w:rsidRPr="000857CD">
        <w:rPr>
          <w:rStyle w:val="Appelnotedebasdep"/>
          <w:rFonts w:ascii="Verdana" w:hAnsi="Verdana" w:cs="Calibri"/>
          <w:sz w:val="22"/>
          <w:szCs w:val="22"/>
          <w:lang w:val="fr-FR"/>
        </w:rPr>
        <w:footnoteReference w:id="12"/>
      </w:r>
      <w:r w:rsidRPr="000857CD">
        <w:rPr>
          <w:rFonts w:ascii="Verdana" w:hAnsi="Verdana" w:cs="Calibri"/>
          <w:sz w:val="22"/>
          <w:szCs w:val="22"/>
          <w:lang w:val="fr-FR"/>
        </w:rPr>
        <w:t>.</w:t>
      </w:r>
      <w:r w:rsidRPr="000857CD">
        <w:rPr>
          <w:rFonts w:ascii="MS Mincho" w:eastAsia="MS Mincho" w:hAnsi="MS Mincho" w:cs="MS Mincho"/>
          <w:color w:val="363840"/>
          <w:sz w:val="22"/>
          <w:szCs w:val="22"/>
          <w:lang w:val="fr-FR"/>
        </w:rPr>
        <w:t> </w:t>
      </w:r>
    </w:p>
    <w:p w14:paraId="50BECDD2" w14:textId="714F1F93" w:rsidR="006E1151" w:rsidRPr="000857CD" w:rsidRDefault="006E1151" w:rsidP="005902B1">
      <w:pPr>
        <w:pStyle w:val="Pardeliste"/>
        <w:widowControl w:val="0"/>
        <w:numPr>
          <w:ilvl w:val="0"/>
          <w:numId w:val="2"/>
        </w:numPr>
        <w:autoSpaceDE w:val="0"/>
        <w:autoSpaceDN w:val="0"/>
        <w:adjustRightInd w:val="0"/>
        <w:rPr>
          <w:rFonts w:ascii="Verdana" w:hAnsi="Verdana" w:cs="Times New Roman"/>
          <w:i/>
          <w:sz w:val="22"/>
          <w:szCs w:val="22"/>
          <w:lang w:val="fr-FR"/>
        </w:rPr>
      </w:pPr>
      <w:r w:rsidRPr="000857CD">
        <w:rPr>
          <w:rFonts w:ascii="Verdana" w:hAnsi="Verdana" w:cs="Arial"/>
          <w:i/>
          <w:color w:val="363840"/>
          <w:sz w:val="22"/>
          <w:szCs w:val="22"/>
          <w:lang w:val="fr-FR"/>
        </w:rPr>
        <w:t xml:space="preserve"> </w:t>
      </w:r>
      <w:r w:rsidR="005902B1" w:rsidRPr="000857CD">
        <w:rPr>
          <w:rFonts w:ascii="Verdana" w:hAnsi="Verdana" w:cs="Arial"/>
          <w:i/>
          <w:color w:val="363840"/>
          <w:sz w:val="22"/>
          <w:szCs w:val="22"/>
          <w:lang w:val="fr-FR"/>
        </w:rPr>
        <w:t>Si</w:t>
      </w:r>
      <w:r w:rsidRPr="000857CD">
        <w:rPr>
          <w:rFonts w:ascii="Verdana" w:hAnsi="Verdana" w:cs="Arial"/>
          <w:i/>
          <w:color w:val="363840"/>
          <w:sz w:val="22"/>
          <w:szCs w:val="22"/>
          <w:lang w:val="fr-FR"/>
        </w:rPr>
        <w:t xml:space="preserve"> accord de libre-échange il devait y avoir, celui-ci doit impérativement respecter nos standards de </w:t>
      </w:r>
      <w:r w:rsidR="005902B1" w:rsidRPr="000857CD">
        <w:rPr>
          <w:rFonts w:ascii="Verdana" w:hAnsi="Verdana" w:cs="Arial"/>
          <w:i/>
          <w:color w:val="363840"/>
          <w:sz w:val="22"/>
          <w:szCs w:val="22"/>
          <w:lang w:val="fr-FR"/>
        </w:rPr>
        <w:t>production ;</w:t>
      </w:r>
    </w:p>
    <w:p w14:paraId="03DE7454" w14:textId="4BB66C00" w:rsidR="005902B1" w:rsidRPr="000857CD" w:rsidRDefault="006E1151" w:rsidP="006E1151">
      <w:pPr>
        <w:widowControl w:val="0"/>
        <w:autoSpaceDE w:val="0"/>
        <w:autoSpaceDN w:val="0"/>
        <w:adjustRightInd w:val="0"/>
        <w:rPr>
          <w:rFonts w:ascii="Verdana" w:eastAsia="MS Mincho" w:hAnsi="Verdana" w:cs="MS Mincho"/>
          <w:color w:val="363840"/>
          <w:sz w:val="22"/>
          <w:szCs w:val="22"/>
          <w:lang w:val="fr-FR"/>
        </w:rPr>
      </w:pPr>
      <w:r w:rsidRPr="000857CD">
        <w:rPr>
          <w:rFonts w:ascii="Verdana" w:hAnsi="Verdana" w:cs="Calibri"/>
          <w:sz w:val="22"/>
          <w:szCs w:val="22"/>
          <w:lang w:val="fr-FR"/>
        </w:rPr>
        <w:t xml:space="preserve">Il semble que les mécanismes de </w:t>
      </w:r>
      <w:hyperlink r:id="rId15" w:history="1">
        <w:r w:rsidRPr="000857CD">
          <w:rPr>
            <w:rFonts w:ascii="Verdana" w:hAnsi="Verdana" w:cs="Calibri"/>
            <w:color w:val="0000FF"/>
            <w:sz w:val="22"/>
            <w:szCs w:val="22"/>
            <w:u w:val="single" w:color="0000FF"/>
            <w:lang w:val="fr-FR"/>
          </w:rPr>
          <w:t>coopération réglementaire</w:t>
        </w:r>
      </w:hyperlink>
      <w:r w:rsidR="005902B1" w:rsidRPr="000857CD">
        <w:rPr>
          <w:rStyle w:val="Appelnotedebasdep"/>
          <w:rFonts w:ascii="Verdana" w:hAnsi="Verdana" w:cs="Calibri"/>
          <w:sz w:val="22"/>
          <w:szCs w:val="22"/>
          <w:lang w:val="fr-FR"/>
        </w:rPr>
        <w:footnoteReference w:id="13"/>
      </w:r>
      <w:r w:rsidRPr="000857CD">
        <w:rPr>
          <w:rFonts w:ascii="Verdana" w:hAnsi="Verdana" w:cs="Calibri"/>
          <w:sz w:val="22"/>
          <w:szCs w:val="22"/>
          <w:lang w:val="fr-FR"/>
        </w:rPr>
        <w:t xml:space="preserve"> et de </w:t>
      </w:r>
      <w:hyperlink r:id="rId16" w:history="1">
        <w:r w:rsidRPr="000857CD">
          <w:rPr>
            <w:rFonts w:ascii="Verdana" w:hAnsi="Verdana" w:cs="Calibri"/>
            <w:color w:val="0000FF"/>
            <w:sz w:val="22"/>
            <w:szCs w:val="22"/>
            <w:u w:val="single" w:color="0000FF"/>
            <w:lang w:val="fr-FR"/>
          </w:rPr>
          <w:t>reconnaissance mutuelle</w:t>
        </w:r>
      </w:hyperlink>
      <w:r w:rsidR="005902B1" w:rsidRPr="000857CD">
        <w:rPr>
          <w:rStyle w:val="Appelnotedebasdep"/>
          <w:rFonts w:ascii="Verdana" w:hAnsi="Verdana" w:cs="Calibri"/>
          <w:sz w:val="22"/>
          <w:szCs w:val="22"/>
          <w:lang w:val="fr-FR"/>
        </w:rPr>
        <w:footnoteReference w:id="14"/>
      </w:r>
      <w:r w:rsidRPr="000857CD">
        <w:rPr>
          <w:rFonts w:ascii="Verdana" w:hAnsi="Verdana" w:cs="Calibri"/>
          <w:sz w:val="22"/>
          <w:szCs w:val="22"/>
          <w:lang w:val="fr-FR"/>
        </w:rPr>
        <w:t> notamment en matière de normes sanitaires prévues dans le CETA ne respectent pas cet objectif.</w:t>
      </w:r>
      <w:r w:rsidRPr="000857CD">
        <w:rPr>
          <w:rFonts w:ascii="MS Mincho" w:eastAsia="MS Mincho" w:hAnsi="MS Mincho" w:cs="MS Mincho"/>
          <w:color w:val="363840"/>
          <w:sz w:val="22"/>
          <w:szCs w:val="22"/>
          <w:lang w:val="fr-FR"/>
        </w:rPr>
        <w:t> </w:t>
      </w:r>
    </w:p>
    <w:p w14:paraId="42EAD192" w14:textId="2B9971AE" w:rsidR="006E1151" w:rsidRPr="000857CD" w:rsidRDefault="005902B1" w:rsidP="005902B1">
      <w:pPr>
        <w:pStyle w:val="Pardeliste"/>
        <w:widowControl w:val="0"/>
        <w:numPr>
          <w:ilvl w:val="0"/>
          <w:numId w:val="2"/>
        </w:numPr>
        <w:autoSpaceDE w:val="0"/>
        <w:autoSpaceDN w:val="0"/>
        <w:adjustRightInd w:val="0"/>
        <w:rPr>
          <w:rFonts w:ascii="Verdana" w:hAnsi="Verdana" w:cs="Times New Roman"/>
          <w:i/>
          <w:sz w:val="22"/>
          <w:szCs w:val="22"/>
          <w:lang w:val="fr-FR"/>
        </w:rPr>
      </w:pPr>
      <w:r w:rsidRPr="000857CD">
        <w:rPr>
          <w:rFonts w:ascii="Verdana" w:hAnsi="Verdana" w:cs="Arial"/>
          <w:i/>
          <w:color w:val="363840"/>
          <w:sz w:val="22"/>
          <w:szCs w:val="22"/>
          <w:lang w:val="fr-FR"/>
        </w:rPr>
        <w:t>Le</w:t>
      </w:r>
      <w:r w:rsidR="006E1151" w:rsidRPr="000857CD">
        <w:rPr>
          <w:rFonts w:ascii="Verdana" w:hAnsi="Verdana" w:cs="Arial"/>
          <w:i/>
          <w:color w:val="363840"/>
          <w:sz w:val="22"/>
          <w:szCs w:val="22"/>
          <w:lang w:val="fr-FR"/>
        </w:rPr>
        <w:t xml:space="preserve"> maintien du respect de l’identification des produits européens.</w:t>
      </w:r>
    </w:p>
    <w:p w14:paraId="3C7DF0F5" w14:textId="2B4DFBB0" w:rsidR="006E1151" w:rsidRPr="000857CD" w:rsidRDefault="00194533" w:rsidP="005902B1">
      <w:pPr>
        <w:widowControl w:val="0"/>
        <w:autoSpaceDE w:val="0"/>
        <w:autoSpaceDN w:val="0"/>
        <w:adjustRightInd w:val="0"/>
        <w:rPr>
          <w:rFonts w:ascii="Verdana" w:hAnsi="Verdana" w:cs="Helvetica"/>
          <w:b/>
          <w:sz w:val="22"/>
          <w:szCs w:val="22"/>
          <w:lang w:val="fr-FR"/>
        </w:rPr>
      </w:pPr>
      <w:hyperlink r:id="rId17" w:history="1">
        <w:r w:rsidR="006E1151" w:rsidRPr="000857CD">
          <w:rPr>
            <w:rFonts w:ascii="Verdana" w:hAnsi="Verdana" w:cs="Calibri"/>
            <w:color w:val="0000FF"/>
            <w:sz w:val="22"/>
            <w:szCs w:val="22"/>
            <w:u w:val="single" w:color="0000FF"/>
            <w:lang w:val="fr-FR"/>
          </w:rPr>
          <w:t>Le CETA ne reconnaît que 10% des indications géographiques européennes et aucune des belges</w:t>
        </w:r>
      </w:hyperlink>
      <w:r w:rsidR="005902B1" w:rsidRPr="000857CD">
        <w:rPr>
          <w:rStyle w:val="Appelnotedebasdep"/>
          <w:rFonts w:ascii="Verdana" w:hAnsi="Verdana" w:cs="Calibri"/>
          <w:sz w:val="22"/>
          <w:szCs w:val="22"/>
          <w:lang w:val="fr-FR"/>
        </w:rPr>
        <w:footnoteReference w:id="15"/>
      </w:r>
      <w:r w:rsidR="006E1151" w:rsidRPr="000857CD">
        <w:rPr>
          <w:rFonts w:ascii="Verdana" w:hAnsi="Verdana" w:cs="Calibri"/>
          <w:sz w:val="22"/>
          <w:szCs w:val="22"/>
          <w:lang w:val="fr-FR"/>
        </w:rPr>
        <w:t>.</w:t>
      </w:r>
    </w:p>
    <w:p w14:paraId="4691ADBC" w14:textId="77777777" w:rsidR="006E1151" w:rsidRPr="000857CD" w:rsidRDefault="006E1151" w:rsidP="00C84E84">
      <w:pPr>
        <w:widowControl w:val="0"/>
        <w:autoSpaceDE w:val="0"/>
        <w:autoSpaceDN w:val="0"/>
        <w:adjustRightInd w:val="0"/>
        <w:ind w:firstLine="708"/>
        <w:rPr>
          <w:rFonts w:ascii="Verdana" w:hAnsi="Verdana" w:cs="Helvetica"/>
          <w:b/>
          <w:sz w:val="22"/>
          <w:szCs w:val="22"/>
          <w:lang w:val="fr-FR"/>
        </w:rPr>
      </w:pPr>
    </w:p>
    <w:p w14:paraId="2C09793B" w14:textId="4A8EB8D6" w:rsidR="00421E0A" w:rsidRPr="000857CD" w:rsidRDefault="00F8406F" w:rsidP="00421E0A">
      <w:pPr>
        <w:widowControl w:val="0"/>
        <w:autoSpaceDE w:val="0"/>
        <w:autoSpaceDN w:val="0"/>
        <w:adjustRightInd w:val="0"/>
        <w:rPr>
          <w:rFonts w:ascii="Verdana" w:hAnsi="Verdana" w:cs="Helvetica"/>
          <w:color w:val="000000" w:themeColor="text1"/>
          <w:sz w:val="22"/>
          <w:szCs w:val="22"/>
          <w:lang w:val="fr-FR"/>
        </w:rPr>
      </w:pPr>
      <w:r w:rsidRPr="000857CD">
        <w:rPr>
          <w:rFonts w:ascii="Verdana" w:hAnsi="Verdana" w:cs="Helvetica"/>
          <w:color w:val="000000" w:themeColor="text1"/>
          <w:sz w:val="22"/>
          <w:szCs w:val="22"/>
          <w:lang w:val="fr-FR"/>
        </w:rPr>
        <w:t>De la même manière, le CETA tel qu’il est proposé ne convient pas aux agriculteurs canadiens, notamment parce qu’il limite leur capacité à stocker et réutiliser leurs propres semences et restreint leur marché domestique du fromage de 13.000 tonnes</w:t>
      </w:r>
      <w:r w:rsidR="00E73867" w:rsidRPr="000857CD">
        <w:rPr>
          <w:rFonts w:ascii="Verdana" w:hAnsi="Verdana" w:cs="Helvetica"/>
          <w:color w:val="000000" w:themeColor="text1"/>
          <w:sz w:val="22"/>
          <w:szCs w:val="22"/>
          <w:lang w:val="fr-FR"/>
        </w:rPr>
        <w:t xml:space="preserve">, ils précisent également que l’agriculture européenne est subsidiée tandis </w:t>
      </w:r>
      <w:r w:rsidR="00E73867" w:rsidRPr="000857CD">
        <w:rPr>
          <w:rFonts w:ascii="Verdana" w:hAnsi="Verdana" w:cs="Helvetica"/>
          <w:color w:val="000000" w:themeColor="text1"/>
          <w:sz w:val="22"/>
          <w:szCs w:val="22"/>
          <w:lang w:val="fr-FR"/>
        </w:rPr>
        <w:lastRenderedPageBreak/>
        <w:t>que la Canadienne ne l’est pas</w:t>
      </w:r>
      <w:r w:rsidRPr="000857CD">
        <w:rPr>
          <w:rStyle w:val="Appelnotedebasdep"/>
          <w:rFonts w:ascii="Verdana" w:hAnsi="Verdana" w:cs="Helvetica"/>
          <w:color w:val="000000" w:themeColor="text1"/>
          <w:sz w:val="22"/>
          <w:szCs w:val="22"/>
          <w:lang w:val="fr-FR"/>
        </w:rPr>
        <w:footnoteReference w:id="16"/>
      </w:r>
      <w:r w:rsidRPr="000857CD">
        <w:rPr>
          <w:rFonts w:ascii="Verdana" w:hAnsi="Verdana" w:cs="Helvetica"/>
          <w:color w:val="000000" w:themeColor="text1"/>
          <w:sz w:val="22"/>
          <w:szCs w:val="22"/>
          <w:lang w:val="fr-FR"/>
        </w:rPr>
        <w:t>.</w:t>
      </w:r>
      <w:r w:rsidR="00E73867" w:rsidRPr="000857CD">
        <w:rPr>
          <w:rFonts w:ascii="Verdana" w:hAnsi="Verdana" w:cs="Helvetica"/>
          <w:color w:val="000000" w:themeColor="text1"/>
          <w:sz w:val="22"/>
          <w:szCs w:val="22"/>
          <w:lang w:val="fr-FR"/>
        </w:rPr>
        <w:t xml:space="preserve"> Les producteurs de lait canadiens ont même écrit au commissaire européen à l’agriculture pour lui proposer de renforcer le système européen d’encadrement de la production de lait sur le modèle canadien qui fait ses preuves depuis 50 ans</w:t>
      </w:r>
      <w:r w:rsidR="003B19B7" w:rsidRPr="000857CD">
        <w:rPr>
          <w:rStyle w:val="Appelnotedebasdep"/>
          <w:rFonts w:ascii="Verdana" w:hAnsi="Verdana" w:cs="Helvetica"/>
          <w:color w:val="000000" w:themeColor="text1"/>
          <w:sz w:val="22"/>
          <w:szCs w:val="22"/>
          <w:lang w:val="fr-FR"/>
        </w:rPr>
        <w:footnoteReference w:id="17"/>
      </w:r>
      <w:r w:rsidR="00E73867" w:rsidRPr="000857CD">
        <w:rPr>
          <w:rFonts w:ascii="Verdana" w:hAnsi="Verdana" w:cs="Helvetica"/>
          <w:color w:val="000000" w:themeColor="text1"/>
          <w:sz w:val="22"/>
          <w:szCs w:val="22"/>
          <w:lang w:val="fr-FR"/>
        </w:rPr>
        <w:t xml:space="preserve"> </w:t>
      </w:r>
      <w:r w:rsidR="003B19B7" w:rsidRPr="000857CD">
        <w:rPr>
          <w:rFonts w:ascii="Verdana" w:hAnsi="Verdana" w:cs="Helvetica"/>
          <w:color w:val="000000" w:themeColor="text1"/>
          <w:sz w:val="22"/>
          <w:szCs w:val="22"/>
          <w:lang w:val="fr-FR"/>
        </w:rPr>
        <w:t>plutôt que d’affaiblir ce système canadien via le CETA.</w:t>
      </w:r>
    </w:p>
    <w:p w14:paraId="3622EAE0" w14:textId="77777777" w:rsidR="00F8406F" w:rsidRDefault="00F8406F" w:rsidP="00421E0A">
      <w:pPr>
        <w:widowControl w:val="0"/>
        <w:autoSpaceDE w:val="0"/>
        <w:autoSpaceDN w:val="0"/>
        <w:adjustRightInd w:val="0"/>
        <w:rPr>
          <w:rFonts w:ascii="Verdana" w:hAnsi="Verdana" w:cs="Helvetica"/>
          <w:color w:val="453CCC"/>
          <w:sz w:val="22"/>
          <w:szCs w:val="22"/>
          <w:lang w:val="fr-FR"/>
        </w:rPr>
      </w:pPr>
    </w:p>
    <w:p w14:paraId="74997142" w14:textId="77777777" w:rsidR="00F8406F" w:rsidRPr="00BC6E89" w:rsidRDefault="00F8406F" w:rsidP="00421E0A">
      <w:pPr>
        <w:widowControl w:val="0"/>
        <w:autoSpaceDE w:val="0"/>
        <w:autoSpaceDN w:val="0"/>
        <w:adjustRightInd w:val="0"/>
        <w:rPr>
          <w:rFonts w:ascii="Verdana" w:hAnsi="Verdana" w:cs="Helvetica"/>
          <w:color w:val="453CCC"/>
          <w:sz w:val="22"/>
          <w:szCs w:val="22"/>
          <w:lang w:val="fr-FR"/>
        </w:rPr>
      </w:pPr>
    </w:p>
    <w:p w14:paraId="027C944B" w14:textId="6E9E3C89" w:rsidR="00421E0A" w:rsidRPr="00412097" w:rsidRDefault="00421E0A" w:rsidP="00412097">
      <w:pPr>
        <w:pStyle w:val="Titre"/>
      </w:pPr>
      <w:bookmarkStart w:id="6" w:name="_Toc463603264"/>
      <w:r w:rsidRPr="00412097">
        <w:t>Analyse point par point</w:t>
      </w:r>
      <w:r w:rsidR="005902B1" w:rsidRPr="00412097">
        <w:t xml:space="preserve"> de la déclaration</w:t>
      </w:r>
      <w:bookmarkEnd w:id="6"/>
    </w:p>
    <w:p w14:paraId="205E6809" w14:textId="77777777" w:rsidR="00840307" w:rsidRPr="00BC6E89" w:rsidRDefault="00840307" w:rsidP="00421E0A">
      <w:pPr>
        <w:widowControl w:val="0"/>
        <w:autoSpaceDE w:val="0"/>
        <w:autoSpaceDN w:val="0"/>
        <w:adjustRightInd w:val="0"/>
        <w:rPr>
          <w:rFonts w:ascii="Verdana" w:hAnsi="Verdana" w:cs="Helvetica"/>
          <w:sz w:val="22"/>
          <w:szCs w:val="22"/>
          <w:lang w:val="fr-FR"/>
        </w:rPr>
      </w:pPr>
    </w:p>
    <w:p w14:paraId="0051BC25" w14:textId="4326CB3B" w:rsidR="00421E0A" w:rsidRPr="00BC6E89" w:rsidRDefault="00421E0A" w:rsidP="00412097">
      <w:pPr>
        <w:pStyle w:val="Titre1"/>
        <w:numPr>
          <w:ilvl w:val="0"/>
          <w:numId w:val="3"/>
        </w:numPr>
        <w:rPr>
          <w:lang w:val="fr-FR"/>
        </w:rPr>
      </w:pPr>
      <w:bookmarkStart w:id="7" w:name="_Toc463603265"/>
      <w:r w:rsidRPr="00BC6E89">
        <w:rPr>
          <w:lang w:val="fr-FR"/>
        </w:rPr>
        <w:t xml:space="preserve">« </w:t>
      </w:r>
      <w:r w:rsidR="00192298" w:rsidRPr="00BC6E89">
        <w:rPr>
          <w:lang w:val="fr-FR"/>
        </w:rPr>
        <w:t xml:space="preserve">Right </w:t>
      </w:r>
      <w:r w:rsidRPr="00BC6E89">
        <w:rPr>
          <w:lang w:val="fr-FR"/>
        </w:rPr>
        <w:t>to regulate … »</w:t>
      </w:r>
      <w:bookmarkEnd w:id="7"/>
      <w:r w:rsidRPr="00BC6E89">
        <w:rPr>
          <w:lang w:val="fr-FR"/>
        </w:rPr>
        <w:t xml:space="preserve"> </w:t>
      </w:r>
    </w:p>
    <w:p w14:paraId="57CAF679" w14:textId="77777777" w:rsidR="00840307" w:rsidRPr="00BC6E89" w:rsidRDefault="00840307" w:rsidP="00421E0A">
      <w:pPr>
        <w:widowControl w:val="0"/>
        <w:autoSpaceDE w:val="0"/>
        <w:autoSpaceDN w:val="0"/>
        <w:adjustRightInd w:val="0"/>
        <w:rPr>
          <w:rFonts w:ascii="Verdana" w:hAnsi="Verdana" w:cs="Tahoma"/>
          <w:color w:val="262626"/>
          <w:sz w:val="22"/>
          <w:szCs w:val="22"/>
          <w:lang w:val="fr-FR"/>
        </w:rPr>
      </w:pPr>
    </w:p>
    <w:p w14:paraId="56FC2D61" w14:textId="77777777" w:rsidR="00192298" w:rsidRPr="00BC6E89" w:rsidRDefault="00192298" w:rsidP="00192298">
      <w:pPr>
        <w:widowControl w:val="0"/>
        <w:autoSpaceDE w:val="0"/>
        <w:autoSpaceDN w:val="0"/>
        <w:adjustRightInd w:val="0"/>
        <w:rPr>
          <w:rFonts w:ascii="Verdana" w:hAnsi="Verdana" w:cs="Tahoma"/>
          <w:i/>
          <w:color w:val="262626"/>
          <w:sz w:val="22"/>
          <w:szCs w:val="22"/>
          <w:lang w:val="en-GB"/>
        </w:rPr>
      </w:pPr>
      <w:r w:rsidRPr="00BC6E89">
        <w:rPr>
          <w:rFonts w:ascii="Verdana" w:hAnsi="Verdana" w:cs="Tahoma"/>
          <w:i/>
          <w:color w:val="262626"/>
          <w:sz w:val="22"/>
          <w:szCs w:val="22"/>
          <w:lang w:val="en-GB"/>
        </w:rPr>
        <w:t>CETA preserves the ability of the European Union and its Member States and Canada to adopt and apply their own laws and regulations that regulate economic activity in the public interest, to achieve legitimate public policy objectives such as the protection and promotion of public health, social services, public education, safety, the environment, public morals, social or consumer protection and the promotion and protection of cultural diversity.</w:t>
      </w:r>
    </w:p>
    <w:p w14:paraId="7BD82781" w14:textId="77777777" w:rsidR="00192298" w:rsidRPr="00BC6E89" w:rsidRDefault="00192298" w:rsidP="00421E0A">
      <w:pPr>
        <w:widowControl w:val="0"/>
        <w:autoSpaceDE w:val="0"/>
        <w:autoSpaceDN w:val="0"/>
        <w:adjustRightInd w:val="0"/>
        <w:rPr>
          <w:rFonts w:ascii="Verdana" w:hAnsi="Verdana" w:cs="Tahoma"/>
          <w:color w:val="262626"/>
          <w:sz w:val="22"/>
          <w:szCs w:val="22"/>
          <w:lang w:val="fr-FR"/>
        </w:rPr>
      </w:pPr>
    </w:p>
    <w:p w14:paraId="100FC6E6" w14:textId="77E1B66B" w:rsidR="00192298" w:rsidRPr="00BC6E89" w:rsidRDefault="00421E0A" w:rsidP="00421E0A">
      <w:pPr>
        <w:widowControl w:val="0"/>
        <w:autoSpaceDE w:val="0"/>
        <w:autoSpaceDN w:val="0"/>
        <w:adjustRightInd w:val="0"/>
        <w:rPr>
          <w:rFonts w:ascii="Verdana" w:hAnsi="Verdana" w:cs="Tahoma"/>
          <w:color w:val="262626"/>
          <w:sz w:val="22"/>
          <w:szCs w:val="22"/>
          <w:lang w:val="fr-FR"/>
        </w:rPr>
      </w:pPr>
      <w:r w:rsidRPr="00BC6E89">
        <w:rPr>
          <w:rFonts w:ascii="Verdana" w:hAnsi="Verdana" w:cs="Tahoma"/>
          <w:color w:val="262626"/>
          <w:sz w:val="22"/>
          <w:szCs w:val="22"/>
          <w:lang w:val="fr-FR"/>
        </w:rPr>
        <w:t xml:space="preserve">Cette formulation </w:t>
      </w:r>
      <w:r w:rsidR="00192298" w:rsidRPr="00BC6E89">
        <w:rPr>
          <w:rFonts w:ascii="Verdana" w:hAnsi="Verdana" w:cs="Tahoma"/>
          <w:color w:val="262626"/>
          <w:sz w:val="22"/>
          <w:szCs w:val="22"/>
          <w:lang w:val="fr-FR"/>
        </w:rPr>
        <w:t xml:space="preserve">est relativement intéressante car elle est un petite peu moins ambiguë que celle prévue dans le traité au chapitre 8 </w:t>
      </w:r>
      <w:r w:rsidRPr="00BC6E89">
        <w:rPr>
          <w:rFonts w:ascii="Verdana" w:hAnsi="Verdana" w:cs="Tahoma"/>
          <w:color w:val="262626"/>
          <w:sz w:val="22"/>
          <w:szCs w:val="22"/>
          <w:lang w:val="fr-FR"/>
        </w:rPr>
        <w:t>(investissement-services-arbitrage).</w:t>
      </w:r>
      <w:r w:rsidR="00192298" w:rsidRPr="00BC6E89">
        <w:rPr>
          <w:rFonts w:ascii="Verdana" w:hAnsi="Verdana" w:cs="Tahoma"/>
          <w:color w:val="262626"/>
          <w:sz w:val="22"/>
          <w:szCs w:val="22"/>
          <w:lang w:val="fr-FR"/>
        </w:rPr>
        <w:t xml:space="preserve"> Si cette formulation était rendue contraignante dans un protocole et inclus au traité avant sa signature, et qu’elle supplantait explicitement les formulations du chapitre 8, elle ne laisserait ouverte à l’interprétation des « juges » ou arbitres que la question de savoir si l’objectif poursuivi est </w:t>
      </w:r>
      <w:r w:rsidR="00192298" w:rsidRPr="00BC6E89">
        <w:rPr>
          <w:rFonts w:ascii="Verdana" w:hAnsi="Verdana" w:cs="Tahoma"/>
          <w:i/>
          <w:color w:val="262626"/>
          <w:sz w:val="22"/>
          <w:szCs w:val="22"/>
          <w:lang w:val="fr-FR"/>
        </w:rPr>
        <w:t>légitime</w:t>
      </w:r>
      <w:r w:rsidR="00192298" w:rsidRPr="00BC6E89">
        <w:rPr>
          <w:rFonts w:ascii="Verdana" w:hAnsi="Verdana" w:cs="Tahoma"/>
          <w:color w:val="262626"/>
          <w:sz w:val="22"/>
          <w:szCs w:val="22"/>
          <w:lang w:val="fr-FR"/>
        </w:rPr>
        <w:t xml:space="preserve">, là où la formulation dans le chapitre 8 leur laisse le soin d’estimer si la mesure publique visée est </w:t>
      </w:r>
      <w:r w:rsidR="00192298" w:rsidRPr="00BC6E89">
        <w:rPr>
          <w:rFonts w:ascii="Verdana" w:hAnsi="Verdana" w:cs="Tahoma"/>
          <w:i/>
          <w:color w:val="262626"/>
          <w:sz w:val="22"/>
          <w:szCs w:val="22"/>
          <w:lang w:val="fr-FR"/>
        </w:rPr>
        <w:t>nécessaire</w:t>
      </w:r>
      <w:r w:rsidRPr="00BC6E89">
        <w:rPr>
          <w:rFonts w:ascii="Verdana" w:hAnsi="Verdana" w:cs="Tahoma"/>
          <w:color w:val="262626"/>
          <w:sz w:val="22"/>
          <w:szCs w:val="22"/>
          <w:lang w:val="fr-FR"/>
        </w:rPr>
        <w:t xml:space="preserve"> </w:t>
      </w:r>
      <w:r w:rsidR="00192298" w:rsidRPr="00BC6E89">
        <w:rPr>
          <w:rFonts w:ascii="Verdana" w:hAnsi="Verdana" w:cs="Tahoma"/>
          <w:color w:val="262626"/>
          <w:sz w:val="22"/>
          <w:szCs w:val="22"/>
          <w:lang w:val="fr-FR"/>
        </w:rPr>
        <w:t xml:space="preserve">pour atteindre cet objectif légitime. Vu le biais structurel </w:t>
      </w:r>
      <w:r w:rsidR="002F4807" w:rsidRPr="00BC6E89">
        <w:rPr>
          <w:rFonts w:ascii="Verdana" w:hAnsi="Verdana" w:cs="Tahoma"/>
          <w:color w:val="262626"/>
          <w:sz w:val="22"/>
          <w:szCs w:val="22"/>
          <w:lang w:val="fr-FR"/>
        </w:rPr>
        <w:t>des cours d’arbitrages, même dans la version « ICS » du CETA</w:t>
      </w:r>
      <w:r w:rsidR="002F4807" w:rsidRPr="00BC6E89">
        <w:rPr>
          <w:rStyle w:val="Appelnotedebasdep"/>
          <w:rFonts w:ascii="Verdana" w:hAnsi="Verdana" w:cs="Tahoma"/>
          <w:color w:val="262626"/>
          <w:sz w:val="22"/>
          <w:szCs w:val="22"/>
          <w:lang w:val="fr-FR"/>
        </w:rPr>
        <w:footnoteReference w:id="18"/>
      </w:r>
      <w:r w:rsidR="002F4807" w:rsidRPr="00BC6E89">
        <w:rPr>
          <w:rFonts w:ascii="Verdana" w:hAnsi="Verdana" w:cs="Tahoma"/>
          <w:color w:val="262626"/>
          <w:sz w:val="22"/>
          <w:szCs w:val="22"/>
          <w:lang w:val="fr-FR"/>
        </w:rPr>
        <w:t>, un problème subsiste.</w:t>
      </w:r>
    </w:p>
    <w:p w14:paraId="464472DD" w14:textId="77777777" w:rsidR="00192298" w:rsidRPr="00BC6E89" w:rsidRDefault="00192298" w:rsidP="00421E0A">
      <w:pPr>
        <w:widowControl w:val="0"/>
        <w:autoSpaceDE w:val="0"/>
        <w:autoSpaceDN w:val="0"/>
        <w:adjustRightInd w:val="0"/>
        <w:rPr>
          <w:rFonts w:ascii="Verdana" w:hAnsi="Verdana" w:cs="Tahoma"/>
          <w:color w:val="262626"/>
          <w:sz w:val="22"/>
          <w:szCs w:val="22"/>
          <w:lang w:val="fr-FR"/>
        </w:rPr>
      </w:pPr>
    </w:p>
    <w:p w14:paraId="70A7CBDC" w14:textId="7A412D6F" w:rsidR="00C60DA7" w:rsidRPr="00BC6E89" w:rsidRDefault="002F4807" w:rsidP="00421E0A">
      <w:pPr>
        <w:widowControl w:val="0"/>
        <w:autoSpaceDE w:val="0"/>
        <w:autoSpaceDN w:val="0"/>
        <w:adjustRightInd w:val="0"/>
        <w:rPr>
          <w:rFonts w:ascii="Verdana" w:hAnsi="Verdana" w:cs="Tahoma"/>
          <w:color w:val="262626"/>
          <w:sz w:val="22"/>
          <w:szCs w:val="22"/>
          <w:lang w:val="fr-FR"/>
        </w:rPr>
      </w:pPr>
      <w:r w:rsidRPr="00BC6E89">
        <w:rPr>
          <w:rFonts w:ascii="Verdana" w:hAnsi="Verdana" w:cs="Tahoma"/>
          <w:color w:val="262626"/>
          <w:sz w:val="22"/>
          <w:szCs w:val="22"/>
          <w:lang w:val="fr-FR"/>
        </w:rPr>
        <w:t>De plus</w:t>
      </w:r>
      <w:r w:rsidR="00421E0A" w:rsidRPr="00BC6E89">
        <w:rPr>
          <w:rFonts w:ascii="Verdana" w:hAnsi="Verdana" w:cs="Tahoma"/>
          <w:color w:val="262626"/>
          <w:sz w:val="22"/>
          <w:szCs w:val="22"/>
          <w:lang w:val="fr-FR"/>
        </w:rPr>
        <w:t xml:space="preserve">, les formulations proposées dans les protocoles additionnels </w:t>
      </w:r>
      <w:r w:rsidRPr="00BC6E89">
        <w:rPr>
          <w:rFonts w:ascii="Verdana" w:hAnsi="Verdana" w:cs="Tahoma"/>
          <w:color w:val="262626"/>
          <w:sz w:val="22"/>
          <w:szCs w:val="22"/>
          <w:lang w:val="fr-FR"/>
        </w:rPr>
        <w:t xml:space="preserve">par la DGB et la CLC </w:t>
      </w:r>
      <w:r w:rsidR="00421E0A" w:rsidRPr="00BC6E89">
        <w:rPr>
          <w:rFonts w:ascii="Verdana" w:hAnsi="Verdana" w:cs="Tahoma"/>
          <w:color w:val="262626"/>
          <w:sz w:val="22"/>
          <w:szCs w:val="22"/>
          <w:lang w:val="fr-FR"/>
        </w:rPr>
        <w:t>sont bien plus sécurisant</w:t>
      </w:r>
      <w:r w:rsidRPr="00BC6E89">
        <w:rPr>
          <w:rFonts w:ascii="Verdana" w:hAnsi="Verdana" w:cs="Tahoma"/>
          <w:color w:val="262626"/>
          <w:sz w:val="22"/>
          <w:szCs w:val="22"/>
          <w:lang w:val="fr-FR"/>
        </w:rPr>
        <w:t>s</w:t>
      </w:r>
      <w:r w:rsidR="00421E0A" w:rsidRPr="00BC6E89">
        <w:rPr>
          <w:rFonts w:ascii="Verdana" w:hAnsi="Verdana" w:cs="Tahoma"/>
          <w:color w:val="262626"/>
          <w:sz w:val="22"/>
          <w:szCs w:val="22"/>
          <w:lang w:val="fr-FR"/>
        </w:rPr>
        <w:t xml:space="preserve"> pour préserver la marge de </w:t>
      </w:r>
      <w:r w:rsidR="000F3F8E" w:rsidRPr="00BC6E89">
        <w:rPr>
          <w:rFonts w:ascii="Verdana" w:hAnsi="Verdana" w:cs="Tahoma"/>
          <w:color w:val="262626"/>
          <w:sz w:val="22"/>
          <w:szCs w:val="22"/>
          <w:lang w:val="fr-FR"/>
        </w:rPr>
        <w:t xml:space="preserve">manœuvre </w:t>
      </w:r>
      <w:r w:rsidR="00421E0A" w:rsidRPr="00BC6E89">
        <w:rPr>
          <w:rFonts w:ascii="Verdana" w:hAnsi="Verdana" w:cs="Tahoma"/>
          <w:color w:val="262626"/>
          <w:sz w:val="22"/>
          <w:szCs w:val="22"/>
          <w:lang w:val="fr-FR"/>
        </w:rPr>
        <w:t>politique à l’avenir. Ils proposent notamment l’épuisement des recours normaux auprès des cours et tribunaux nationaux avant tout recours à l’arbitrage international</w:t>
      </w:r>
      <w:r w:rsidRPr="00BC6E89">
        <w:rPr>
          <w:rFonts w:ascii="Verdana" w:hAnsi="Verdana" w:cs="Tahoma"/>
          <w:color w:val="262626"/>
          <w:sz w:val="22"/>
          <w:szCs w:val="22"/>
          <w:lang w:val="fr-FR"/>
        </w:rPr>
        <w:t xml:space="preserve"> (puisqu’il n’a toujours pas été démontré que les tribunaux domestiques canadiens et européens ne permettaient pas de rendre justice correctement aux investisseurs étrangers)</w:t>
      </w:r>
      <w:r w:rsidR="00421E0A" w:rsidRPr="00BC6E89">
        <w:rPr>
          <w:rFonts w:ascii="Verdana" w:hAnsi="Verdana" w:cs="Tahoma"/>
          <w:color w:val="262626"/>
          <w:sz w:val="22"/>
          <w:szCs w:val="22"/>
          <w:lang w:val="fr-FR"/>
        </w:rPr>
        <w:t xml:space="preserve"> ainsi que la limitation de la protection des investissements à la seule protection contre les discriminations, en ligne avec le discours maintes fois répété par la commissaire </w:t>
      </w:r>
      <w:r w:rsidR="000F3F8E" w:rsidRPr="00BC6E89">
        <w:rPr>
          <w:rFonts w:ascii="Verdana" w:hAnsi="Verdana" w:cs="Tahoma"/>
          <w:color w:val="262626"/>
          <w:sz w:val="22"/>
          <w:szCs w:val="22"/>
          <w:lang w:val="fr-FR"/>
        </w:rPr>
        <w:t>Malmström</w:t>
      </w:r>
      <w:r w:rsidRPr="00BC6E89">
        <w:rPr>
          <w:rStyle w:val="Appelnotedebasdep"/>
          <w:rFonts w:ascii="Verdana" w:hAnsi="Verdana" w:cs="Tahoma"/>
          <w:color w:val="262626"/>
          <w:sz w:val="22"/>
          <w:szCs w:val="22"/>
          <w:lang w:val="fr-FR"/>
        </w:rPr>
        <w:footnoteReference w:id="19"/>
      </w:r>
      <w:r w:rsidR="00421E0A" w:rsidRPr="00BC6E89">
        <w:rPr>
          <w:rFonts w:ascii="Verdana" w:hAnsi="Verdana" w:cs="Tahoma"/>
          <w:color w:val="262626"/>
          <w:sz w:val="22"/>
          <w:szCs w:val="22"/>
          <w:lang w:val="fr-FR"/>
        </w:rPr>
        <w:t xml:space="preserve">, et donc la suspension des articles qui ont été </w:t>
      </w:r>
      <w:r w:rsidR="00421E0A" w:rsidRPr="00BC6E89">
        <w:rPr>
          <w:rFonts w:ascii="Verdana" w:hAnsi="Verdana" w:cs="Tahoma"/>
          <w:color w:val="262626"/>
          <w:sz w:val="22"/>
          <w:szCs w:val="22"/>
          <w:lang w:val="fr-FR"/>
        </w:rPr>
        <w:lastRenderedPageBreak/>
        <w:t>sources du plus grand nombre de dérives</w:t>
      </w:r>
      <w:r w:rsidR="00C60DA7" w:rsidRPr="00BC6E89">
        <w:rPr>
          <w:rStyle w:val="Appelnotedebasdep"/>
          <w:rFonts w:ascii="Verdana" w:hAnsi="Verdana" w:cs="Tahoma"/>
          <w:color w:val="262626"/>
          <w:sz w:val="22"/>
          <w:szCs w:val="22"/>
          <w:lang w:val="fr-FR"/>
        </w:rPr>
        <w:footnoteReference w:id="20"/>
      </w:r>
      <w:r w:rsidR="00421E0A" w:rsidRPr="00BC6E89">
        <w:rPr>
          <w:rFonts w:ascii="Verdana" w:hAnsi="Verdana" w:cs="Tahoma"/>
          <w:color w:val="262626"/>
          <w:sz w:val="22"/>
          <w:szCs w:val="22"/>
          <w:lang w:val="fr-FR"/>
        </w:rPr>
        <w:t xml:space="preserve"> à savoir le « traitement juste et équitable » et l’ « expropriation indirecte ». </w:t>
      </w:r>
    </w:p>
    <w:p w14:paraId="14AE3558" w14:textId="77777777" w:rsidR="00C60DA7" w:rsidRPr="00BC6E89" w:rsidRDefault="00C60DA7" w:rsidP="00421E0A">
      <w:pPr>
        <w:widowControl w:val="0"/>
        <w:autoSpaceDE w:val="0"/>
        <w:autoSpaceDN w:val="0"/>
        <w:adjustRightInd w:val="0"/>
        <w:rPr>
          <w:rFonts w:ascii="Verdana" w:hAnsi="Verdana" w:cs="Tahoma"/>
          <w:color w:val="262626"/>
          <w:sz w:val="22"/>
          <w:szCs w:val="22"/>
          <w:lang w:val="fr-FR"/>
        </w:rPr>
      </w:pPr>
    </w:p>
    <w:p w14:paraId="5AAB8214" w14:textId="25D2CFF9" w:rsidR="00421E0A" w:rsidRPr="00BC6E89" w:rsidRDefault="00421E0A" w:rsidP="00421E0A">
      <w:pPr>
        <w:widowControl w:val="0"/>
        <w:autoSpaceDE w:val="0"/>
        <w:autoSpaceDN w:val="0"/>
        <w:adjustRightInd w:val="0"/>
        <w:rPr>
          <w:rFonts w:ascii="Verdana" w:hAnsi="Verdana" w:cs="Helvetica"/>
          <w:sz w:val="22"/>
          <w:szCs w:val="22"/>
          <w:lang w:val="fr-FR"/>
        </w:rPr>
      </w:pPr>
      <w:r w:rsidRPr="00BC6E89">
        <w:rPr>
          <w:rFonts w:ascii="Verdana" w:hAnsi="Verdana" w:cs="Tahoma"/>
          <w:color w:val="262626"/>
          <w:sz w:val="22"/>
          <w:szCs w:val="22"/>
          <w:lang w:val="fr-FR"/>
        </w:rPr>
        <w:t>De plus, dans le cadre des négociations en cours sur un nouveau modèle de traité bilatéral sur les investissements de l’UEBL, il a été soulevé que « protéger le droit à réglementer » ne couvre pas automatiquement le fait qu’un Etat condamné à indemniser un investisseur pour une réglementation d’intérêt général serait considéré comme gêné dans son droit à réglementer.</w:t>
      </w:r>
      <w:r w:rsidR="00C60DA7" w:rsidRPr="00BC6E89">
        <w:rPr>
          <w:rFonts w:ascii="Verdana" w:hAnsi="Verdana" w:cs="Tahoma"/>
          <w:color w:val="262626"/>
          <w:sz w:val="22"/>
          <w:szCs w:val="22"/>
          <w:lang w:val="fr-FR"/>
        </w:rPr>
        <w:t xml:space="preserve"> La réponse régulièrement avancée par Business Europe dans diverses réunions consiste à dire que bien sûr les Etats peuvent règlementer, simplement ils doivent payer.</w:t>
      </w:r>
      <w:r w:rsidRPr="00BC6E89">
        <w:rPr>
          <w:rFonts w:ascii="Verdana" w:hAnsi="Verdana" w:cs="Tahoma"/>
          <w:color w:val="262626"/>
          <w:sz w:val="22"/>
          <w:szCs w:val="22"/>
          <w:lang w:val="fr-FR"/>
        </w:rPr>
        <w:t xml:space="preserve"> Il conviendrait donc au minimum de</w:t>
      </w:r>
      <w:r w:rsidR="00C60DA7" w:rsidRPr="00BC6E89">
        <w:rPr>
          <w:rFonts w:ascii="Verdana" w:hAnsi="Verdana" w:cs="Tahoma"/>
          <w:color w:val="262626"/>
          <w:sz w:val="22"/>
          <w:szCs w:val="22"/>
          <w:lang w:val="fr-FR"/>
        </w:rPr>
        <w:t xml:space="preserve"> préciser que devoir payer des sommes astronomiques constitue une entrave au droit à réglementer. Pour ce faire on peut</w:t>
      </w:r>
      <w:r w:rsidRPr="00BC6E89">
        <w:rPr>
          <w:rFonts w:ascii="Verdana" w:hAnsi="Verdana" w:cs="Tahoma"/>
          <w:color w:val="262626"/>
          <w:sz w:val="22"/>
          <w:szCs w:val="22"/>
          <w:lang w:val="fr-FR"/>
        </w:rPr>
        <w:t xml:space="preserve"> reprendre la formulation proposée </w:t>
      </w:r>
      <w:r w:rsidR="00C60DA7" w:rsidRPr="00BC6E89">
        <w:rPr>
          <w:rFonts w:ascii="Verdana" w:hAnsi="Verdana" w:cs="Tahoma"/>
          <w:color w:val="262626"/>
          <w:sz w:val="22"/>
          <w:szCs w:val="22"/>
          <w:lang w:val="fr-FR"/>
        </w:rPr>
        <w:t xml:space="preserve">dans le cadre du modèle d’accord UEBL </w:t>
      </w:r>
      <w:r w:rsidRPr="00BC6E89">
        <w:rPr>
          <w:rFonts w:ascii="Verdana" w:hAnsi="Verdana" w:cs="Tahoma"/>
          <w:color w:val="262626"/>
          <w:sz w:val="22"/>
          <w:szCs w:val="22"/>
          <w:lang w:val="fr-FR"/>
        </w:rPr>
        <w:t>qui précise qu’exposer un gouvernement à payer une indemnisation lorsqu’il réglemente constitue une entrave à son droit à réglementer, entrave qui doit être explicitement interdite par le traité.</w:t>
      </w:r>
    </w:p>
    <w:p w14:paraId="00AA114E" w14:textId="77777777" w:rsidR="00421E0A" w:rsidRPr="00BC6E89" w:rsidRDefault="00421E0A" w:rsidP="00421E0A">
      <w:pPr>
        <w:widowControl w:val="0"/>
        <w:autoSpaceDE w:val="0"/>
        <w:autoSpaceDN w:val="0"/>
        <w:adjustRightInd w:val="0"/>
        <w:rPr>
          <w:rFonts w:ascii="Verdana" w:hAnsi="Verdana" w:cs="Tahoma"/>
          <w:color w:val="262626"/>
          <w:sz w:val="22"/>
          <w:szCs w:val="22"/>
          <w:lang w:val="fr-FR"/>
        </w:rPr>
      </w:pPr>
    </w:p>
    <w:p w14:paraId="176690F7" w14:textId="77777777" w:rsidR="00421E0A" w:rsidRPr="00BC6E89" w:rsidRDefault="00421E0A" w:rsidP="00421E0A">
      <w:pPr>
        <w:widowControl w:val="0"/>
        <w:autoSpaceDE w:val="0"/>
        <w:autoSpaceDN w:val="0"/>
        <w:adjustRightInd w:val="0"/>
        <w:rPr>
          <w:rFonts w:ascii="Verdana" w:hAnsi="Verdana" w:cs="Helvetica"/>
          <w:sz w:val="22"/>
          <w:szCs w:val="22"/>
          <w:lang w:val="fr-FR"/>
        </w:rPr>
      </w:pPr>
      <w:r w:rsidRPr="00BC6E89">
        <w:rPr>
          <w:rFonts w:ascii="Verdana" w:hAnsi="Verdana" w:cs="Tahoma"/>
          <w:color w:val="262626"/>
          <w:sz w:val="22"/>
          <w:szCs w:val="22"/>
          <w:lang w:val="fr-FR"/>
        </w:rPr>
        <w:t>Une option de langage qui pourrait répondre à cette préoccupation pourrait être </w:t>
      </w:r>
    </w:p>
    <w:p w14:paraId="54D40CFA" w14:textId="189B3A86" w:rsidR="00421E0A" w:rsidRPr="00BC6E89" w:rsidRDefault="00421E0A" w:rsidP="00421E0A">
      <w:pPr>
        <w:widowControl w:val="0"/>
        <w:autoSpaceDE w:val="0"/>
        <w:autoSpaceDN w:val="0"/>
        <w:adjustRightInd w:val="0"/>
        <w:rPr>
          <w:rFonts w:ascii="Verdana" w:hAnsi="Verdana" w:cs="Helvetica"/>
          <w:i/>
          <w:sz w:val="22"/>
          <w:szCs w:val="22"/>
          <w:lang w:val="fr-FR"/>
        </w:rPr>
      </w:pPr>
      <w:r w:rsidRPr="00BC6E89">
        <w:rPr>
          <w:rFonts w:ascii="Verdana" w:hAnsi="Verdana" w:cs="Tahoma"/>
          <w:i/>
          <w:color w:val="262626"/>
          <w:sz w:val="22"/>
          <w:szCs w:val="22"/>
          <w:lang w:val="fr-FR"/>
        </w:rPr>
        <w:t>"</w:t>
      </w:r>
      <w:r w:rsidR="00192298" w:rsidRPr="00BC6E89">
        <w:rPr>
          <w:rFonts w:ascii="Verdana" w:hAnsi="Verdana" w:cs="Tahoma"/>
          <w:i/>
          <w:color w:val="262626"/>
          <w:sz w:val="22"/>
          <w:szCs w:val="22"/>
          <w:lang w:val="fr-FR"/>
        </w:rPr>
        <w:t xml:space="preserve"> </w:t>
      </w:r>
      <w:r w:rsidRPr="00BC6E89">
        <w:rPr>
          <w:rFonts w:ascii="Verdana" w:hAnsi="Verdana" w:cs="Tahoma"/>
          <w:i/>
          <w:color w:val="262626"/>
          <w:sz w:val="22"/>
          <w:szCs w:val="22"/>
          <w:lang w:val="fr-FR"/>
        </w:rPr>
        <w:t>Nothing in this Agreement shall in any way be construed as limiting the right of a party or any of their competent authorities to adopt, maintain and enforce measures, apply prohibitions or restrictions of any kind or take any other action directed to pursue policy objectives, such as the protection of society and of public health, the promotion of security and safety, the achievement of the global sustainable development goals, the Paris Agreement on climate change, environment or public morals, social or consumer protection, the integrity and stability of the financial system or promotion and protection of cultural diversity or the fulfillment of the ILO Decent work agenda and of all international commitments layed out in the current chapter, </w:t>
      </w:r>
      <w:r w:rsidRPr="00BC6E89">
        <w:rPr>
          <w:rFonts w:ascii="Verdana" w:hAnsi="Verdana" w:cs="Tahoma"/>
          <w:b/>
          <w:bCs/>
          <w:i/>
          <w:color w:val="262626"/>
          <w:sz w:val="22"/>
          <w:szCs w:val="22"/>
          <w:u w:val="single"/>
          <w:lang w:val="fr-FR"/>
        </w:rPr>
        <w:t>or as requiring a Party to compensate an investor therefor</w:t>
      </w:r>
      <w:r w:rsidR="00192298" w:rsidRPr="00BC6E89">
        <w:rPr>
          <w:rFonts w:ascii="Verdana" w:hAnsi="Verdana" w:cs="Tahoma"/>
          <w:b/>
          <w:bCs/>
          <w:i/>
          <w:color w:val="262626"/>
          <w:sz w:val="22"/>
          <w:szCs w:val="22"/>
          <w:lang w:val="fr-FR"/>
        </w:rPr>
        <w:t>. »</w:t>
      </w:r>
    </w:p>
    <w:p w14:paraId="6602AF78" w14:textId="77777777" w:rsidR="00421E0A" w:rsidRPr="00BC6E89" w:rsidRDefault="00421E0A" w:rsidP="00421E0A">
      <w:pPr>
        <w:widowControl w:val="0"/>
        <w:autoSpaceDE w:val="0"/>
        <w:autoSpaceDN w:val="0"/>
        <w:adjustRightInd w:val="0"/>
        <w:rPr>
          <w:rFonts w:ascii="Verdana" w:hAnsi="Verdana" w:cs="Tahoma"/>
          <w:b/>
          <w:bCs/>
          <w:color w:val="262626"/>
          <w:sz w:val="22"/>
          <w:szCs w:val="22"/>
          <w:lang w:val="fr-FR"/>
        </w:rPr>
      </w:pPr>
    </w:p>
    <w:p w14:paraId="10126C42" w14:textId="77777777" w:rsidR="00421E0A" w:rsidRPr="00BC6E89" w:rsidRDefault="00421E0A" w:rsidP="00421E0A">
      <w:pPr>
        <w:widowControl w:val="0"/>
        <w:autoSpaceDE w:val="0"/>
        <w:autoSpaceDN w:val="0"/>
        <w:adjustRightInd w:val="0"/>
        <w:rPr>
          <w:rFonts w:ascii="Verdana" w:hAnsi="Verdana" w:cs="Helvetica"/>
          <w:sz w:val="22"/>
          <w:szCs w:val="22"/>
          <w:lang w:val="fr-FR"/>
        </w:rPr>
      </w:pPr>
      <w:r w:rsidRPr="00BC6E89">
        <w:rPr>
          <w:rFonts w:ascii="Verdana" w:hAnsi="Verdana" w:cs="Tahoma"/>
          <w:color w:val="262626"/>
          <w:sz w:val="22"/>
          <w:szCs w:val="22"/>
          <w:lang w:val="fr-FR"/>
        </w:rPr>
        <w:t>Ici encore, il ne s’agit que d’une piste proposée, il faudra encore s’assurer auprès d’experts juridiques quelles sont les meilleures dispositions à inclure au traité pour préserver à 100% la marge de manœuvre des Etats. </w:t>
      </w:r>
    </w:p>
    <w:p w14:paraId="2DCFD567" w14:textId="77777777" w:rsidR="00421E0A" w:rsidRPr="00BC6E89" w:rsidRDefault="00421E0A" w:rsidP="00421E0A">
      <w:pPr>
        <w:widowControl w:val="0"/>
        <w:autoSpaceDE w:val="0"/>
        <w:autoSpaceDN w:val="0"/>
        <w:adjustRightInd w:val="0"/>
        <w:rPr>
          <w:rFonts w:ascii="Verdana" w:hAnsi="Verdana" w:cs="Helvetica"/>
          <w:sz w:val="22"/>
          <w:szCs w:val="22"/>
          <w:lang w:val="fr-FR"/>
        </w:rPr>
      </w:pPr>
    </w:p>
    <w:p w14:paraId="193A9774" w14:textId="61A1C37A" w:rsidR="00421E0A" w:rsidRPr="00BC6E89" w:rsidRDefault="00421E0A" w:rsidP="00412097">
      <w:pPr>
        <w:pStyle w:val="Titre1"/>
        <w:numPr>
          <w:ilvl w:val="0"/>
          <w:numId w:val="3"/>
        </w:numPr>
        <w:rPr>
          <w:lang w:val="fr-FR"/>
        </w:rPr>
      </w:pPr>
      <w:bookmarkStart w:id="8" w:name="_Toc463603266"/>
      <w:r w:rsidRPr="00BC6E89">
        <w:rPr>
          <w:lang w:val="fr-FR"/>
        </w:rPr>
        <w:t>Coopération réglementaire</w:t>
      </w:r>
      <w:bookmarkEnd w:id="8"/>
    </w:p>
    <w:p w14:paraId="5DA5F490" w14:textId="77777777" w:rsidR="00C50343" w:rsidRPr="00BC6E89" w:rsidRDefault="00C50343" w:rsidP="00421E0A">
      <w:pPr>
        <w:widowControl w:val="0"/>
        <w:autoSpaceDE w:val="0"/>
        <w:autoSpaceDN w:val="0"/>
        <w:adjustRightInd w:val="0"/>
        <w:rPr>
          <w:rFonts w:ascii="Verdana" w:hAnsi="Verdana" w:cs="Helvetica"/>
          <w:sz w:val="22"/>
          <w:szCs w:val="22"/>
          <w:lang w:val="fr-FR"/>
        </w:rPr>
      </w:pPr>
    </w:p>
    <w:p w14:paraId="77D0F81B" w14:textId="753C5606" w:rsidR="00421E0A" w:rsidRPr="00BC6E89" w:rsidRDefault="00C50343" w:rsidP="00421E0A">
      <w:pPr>
        <w:widowControl w:val="0"/>
        <w:autoSpaceDE w:val="0"/>
        <w:autoSpaceDN w:val="0"/>
        <w:adjustRightInd w:val="0"/>
        <w:rPr>
          <w:rFonts w:ascii="Verdana" w:hAnsi="Verdana" w:cs="Helvetica"/>
          <w:sz w:val="22"/>
          <w:szCs w:val="22"/>
          <w:lang w:val="fr-FR"/>
        </w:rPr>
      </w:pPr>
      <w:r w:rsidRPr="00BC6E89">
        <w:rPr>
          <w:rFonts w:ascii="Verdana" w:hAnsi="Verdana" w:cs="Helvetica"/>
          <w:sz w:val="22"/>
          <w:szCs w:val="22"/>
          <w:lang w:val="fr-FR"/>
        </w:rPr>
        <w:t>L</w:t>
      </w:r>
      <w:r w:rsidR="00421E0A" w:rsidRPr="00BC6E89">
        <w:rPr>
          <w:rFonts w:ascii="Verdana" w:hAnsi="Verdana" w:cs="Helvetica"/>
          <w:sz w:val="22"/>
          <w:szCs w:val="22"/>
          <w:lang w:val="fr-FR"/>
        </w:rPr>
        <w:t xml:space="preserve">a précision du fait que </w:t>
      </w:r>
      <w:r w:rsidR="00421E0A" w:rsidRPr="00BC6E89">
        <w:rPr>
          <w:rFonts w:ascii="Verdana" w:hAnsi="Verdana" w:cs="Helvetica"/>
          <w:i/>
          <w:iCs/>
          <w:sz w:val="22"/>
          <w:szCs w:val="22"/>
          <w:lang w:val="fr-FR"/>
        </w:rPr>
        <w:t>les autorités réglementaires peuvent coopérer sur une base volontaire mais n’y sont pas obligées</w:t>
      </w:r>
      <w:r w:rsidR="00421E0A" w:rsidRPr="00BC6E89">
        <w:rPr>
          <w:rFonts w:ascii="Verdana" w:hAnsi="Verdana" w:cs="Helvetica"/>
          <w:sz w:val="22"/>
          <w:szCs w:val="22"/>
          <w:lang w:val="fr-FR"/>
        </w:rPr>
        <w:t xml:space="preserve"> ne répond pas aux préoccupations exprimées quant à la coopération réglementaire. D’une part le texte du CETA prévoit que les autorités devront justifier tout refus de procéder à la coopération réglementaire, ce qui permet de mettre une pression sur les autorités qui ne souhaiteraient pas s’y plier. De plus, on peut considérer que, évidemment, la coopération réglementaire n’est pas totalement obligatoire, encore heureux, mais le simple fait qu’elle soit possible est préoccupant. On ne peut accepter le simple fait de signer un traité qui permet et même qui encourage fortement à « réduire les différences de </w:t>
      </w:r>
      <w:r w:rsidR="00421E0A" w:rsidRPr="00BC6E89">
        <w:rPr>
          <w:rFonts w:ascii="Verdana" w:hAnsi="Verdana" w:cs="Helvetica"/>
          <w:sz w:val="22"/>
          <w:szCs w:val="22"/>
          <w:lang w:val="fr-FR"/>
        </w:rPr>
        <w:lastRenderedPageBreak/>
        <w:t>réglementation non nécessaires » dans une l’objectif d’augmenter les échanges commerciaux, ce qui revient à subordonner nos objectifs de politiques publiques à un objectif d’augmentation du commerce international. Le CETA établirait une nouvelle institution, le Forum de coopération réglementaire, à laquelle les réglementations envisagées devraient être communiquées en amont du processus législatif. Les défenseurs de ce système arguent qu’il est prévu d’y consulter les parties prenantes. Or, aucun mécanisme n’est prévu pour assurer un équilibre de participation, des moyens humains et financiers des intérêts représentés dans le cadre de la consultation des « parties prenantes » et la pratique montre malheureusement que dans de telles structures sont essentiellement entendus des représentants des grandes entreprises, pour la simple raison qu’elles ont largement plus de moyens que les PME et les organisations de</w:t>
      </w:r>
      <w:r w:rsidR="00484705" w:rsidRPr="00BC6E89">
        <w:rPr>
          <w:rFonts w:ascii="Verdana" w:hAnsi="Verdana" w:cs="Helvetica"/>
          <w:sz w:val="22"/>
          <w:szCs w:val="22"/>
          <w:lang w:val="fr-FR"/>
        </w:rPr>
        <w:t xml:space="preserve"> défenses de l’intérêt général</w:t>
      </w:r>
      <w:r w:rsidR="00484705" w:rsidRPr="00BC6E89">
        <w:rPr>
          <w:rStyle w:val="Appelnotedebasdep"/>
          <w:rFonts w:ascii="Verdana" w:hAnsi="Verdana" w:cs="Helvetica"/>
          <w:sz w:val="22"/>
          <w:szCs w:val="22"/>
          <w:lang w:val="fr-FR"/>
        </w:rPr>
        <w:footnoteReference w:id="21"/>
      </w:r>
      <w:r w:rsidR="00421E0A" w:rsidRPr="00BC6E89">
        <w:rPr>
          <w:rFonts w:ascii="Verdana" w:hAnsi="Verdana" w:cs="Helvetica"/>
          <w:sz w:val="22"/>
          <w:szCs w:val="22"/>
          <w:lang w:val="fr-FR"/>
        </w:rPr>
        <w:t>. Et plus de 90% des réunions tenues par la Commission européenne avec des « parties prenantes » avant le lancement des négociations du TTIP se sont tenues avec des représentants du business</w:t>
      </w:r>
      <w:r w:rsidR="00484705" w:rsidRPr="00BC6E89">
        <w:rPr>
          <w:rStyle w:val="Appelnotedebasdep"/>
          <w:rFonts w:ascii="Verdana" w:hAnsi="Verdana" w:cs="Helvetica"/>
          <w:sz w:val="22"/>
          <w:szCs w:val="22"/>
          <w:lang w:val="fr-FR"/>
        </w:rPr>
        <w:footnoteReference w:id="22"/>
      </w:r>
      <w:r w:rsidR="00421E0A" w:rsidRPr="00BC6E89">
        <w:rPr>
          <w:rFonts w:ascii="Verdana" w:hAnsi="Verdana" w:cs="Helvetica"/>
          <w:sz w:val="22"/>
          <w:szCs w:val="22"/>
          <w:lang w:val="fr-FR"/>
        </w:rPr>
        <w:t>. Ce mécanisme fait de CETA un traité « vivant », qui ne fait pas qu’influencer les règles actuelles mais modifie les processus de décision pour l’avenir.</w:t>
      </w:r>
    </w:p>
    <w:p w14:paraId="26CB2224" w14:textId="77777777" w:rsidR="00421E0A" w:rsidRPr="00BC6E89" w:rsidRDefault="00421E0A" w:rsidP="00421E0A">
      <w:pPr>
        <w:widowControl w:val="0"/>
        <w:autoSpaceDE w:val="0"/>
        <w:autoSpaceDN w:val="0"/>
        <w:adjustRightInd w:val="0"/>
        <w:rPr>
          <w:rFonts w:ascii="Verdana" w:hAnsi="Verdana" w:cs="Helvetica"/>
          <w:sz w:val="22"/>
          <w:szCs w:val="22"/>
          <w:lang w:val="fr-FR"/>
        </w:rPr>
      </w:pPr>
    </w:p>
    <w:p w14:paraId="20C75DEF" w14:textId="77777777" w:rsidR="00484705" w:rsidRPr="00BC6E89" w:rsidRDefault="00421E0A" w:rsidP="00421E0A">
      <w:pPr>
        <w:widowControl w:val="0"/>
        <w:autoSpaceDE w:val="0"/>
        <w:autoSpaceDN w:val="0"/>
        <w:adjustRightInd w:val="0"/>
        <w:rPr>
          <w:rFonts w:ascii="Verdana" w:hAnsi="Verdana" w:cs="Helvetica"/>
          <w:sz w:val="22"/>
          <w:szCs w:val="22"/>
          <w:lang w:val="fr-FR"/>
        </w:rPr>
      </w:pPr>
      <w:r w:rsidRPr="00BC6E89">
        <w:rPr>
          <w:rFonts w:ascii="Verdana" w:hAnsi="Verdana" w:cs="Helvetica"/>
          <w:sz w:val="22"/>
          <w:szCs w:val="22"/>
          <w:lang w:val="fr-FR"/>
        </w:rPr>
        <w:t xml:space="preserve">Une analyse plus poussée des risques liés à la coopération réglementaire dans le CETA </w:t>
      </w:r>
      <w:r w:rsidR="00484705" w:rsidRPr="00BC6E89">
        <w:rPr>
          <w:rFonts w:ascii="Verdana" w:hAnsi="Verdana" w:cs="Helvetica"/>
          <w:sz w:val="22"/>
          <w:szCs w:val="22"/>
          <w:lang w:val="fr-FR"/>
        </w:rPr>
        <w:t>a été publiée récemment</w:t>
      </w:r>
      <w:r w:rsidR="00484705" w:rsidRPr="00BC6E89">
        <w:rPr>
          <w:rStyle w:val="Appelnotedebasdep"/>
          <w:rFonts w:ascii="Verdana" w:hAnsi="Verdana" w:cs="Helvetica"/>
          <w:sz w:val="22"/>
          <w:szCs w:val="22"/>
          <w:lang w:val="fr-FR"/>
        </w:rPr>
        <w:footnoteReference w:id="23"/>
      </w:r>
      <w:r w:rsidRPr="00BC6E89">
        <w:rPr>
          <w:rFonts w:ascii="Verdana" w:hAnsi="Verdana" w:cs="Helvetica"/>
          <w:sz w:val="22"/>
          <w:szCs w:val="22"/>
          <w:lang w:val="fr-FR"/>
        </w:rPr>
        <w:t xml:space="preserve"> Elle renvoie notamment à une analyse des dégâts déjà engendrés en terme de révision à la baisse de projets de réglementation d’intérêt général des à des formes de coopération réglementaire transatlantique déjà mises en place depuis les années 1990 hors de tout cadre. S’il y a une urgence aujourd’hui c’est d’empêcher ce processus de continuer à faire tant de dégâts, plutôt que de le légitimer dans un traité international. Il ne faut pas un grand expert pour constater qu’il y a aujourd’hui une crise de confiance entre les citoyens européens et leurs institutions, un constat largement partagé que les dizaines de milliers de lobbyistes présents à Bruxelles ont une influence excessive sur le processus législatif. Le débat en cours sur le CETA doit être l’occasion de clarifier que l’UE peut être autre chose que l’exécutant de la volonté de Business Europe. </w:t>
      </w:r>
    </w:p>
    <w:p w14:paraId="02A604ED" w14:textId="77777777" w:rsidR="00484705" w:rsidRPr="00BC6E89" w:rsidRDefault="00484705" w:rsidP="00421E0A">
      <w:pPr>
        <w:widowControl w:val="0"/>
        <w:autoSpaceDE w:val="0"/>
        <w:autoSpaceDN w:val="0"/>
        <w:adjustRightInd w:val="0"/>
        <w:rPr>
          <w:rFonts w:ascii="Verdana" w:hAnsi="Verdana" w:cs="Helvetica"/>
          <w:sz w:val="22"/>
          <w:szCs w:val="22"/>
          <w:lang w:val="fr-FR"/>
        </w:rPr>
      </w:pPr>
    </w:p>
    <w:p w14:paraId="59E97C25" w14:textId="794DF288" w:rsidR="00421E0A" w:rsidRPr="00BC6E89" w:rsidRDefault="00421E0A" w:rsidP="00421E0A">
      <w:pPr>
        <w:widowControl w:val="0"/>
        <w:autoSpaceDE w:val="0"/>
        <w:autoSpaceDN w:val="0"/>
        <w:adjustRightInd w:val="0"/>
        <w:rPr>
          <w:rFonts w:ascii="Verdana" w:hAnsi="Verdana" w:cs="Helvetica"/>
          <w:sz w:val="22"/>
          <w:szCs w:val="22"/>
          <w:lang w:val="fr-FR"/>
        </w:rPr>
      </w:pPr>
      <w:r w:rsidRPr="00BC6E89">
        <w:rPr>
          <w:rFonts w:ascii="Verdana" w:hAnsi="Verdana" w:cs="Helvetica"/>
          <w:sz w:val="22"/>
          <w:szCs w:val="22"/>
          <w:lang w:val="fr-FR"/>
        </w:rPr>
        <w:t xml:space="preserve">Donc non à tout mécanisme qui renforcerait ne fût-ce qu’un peu le pouvoir d’influence des intérêts particuliers et oui, d’urgence, à des décisions qui font la démonstration </w:t>
      </w:r>
      <w:r w:rsidR="00484705" w:rsidRPr="00BC6E89">
        <w:rPr>
          <w:rFonts w:ascii="Verdana" w:hAnsi="Verdana" w:cs="Helvetica"/>
          <w:sz w:val="22"/>
          <w:szCs w:val="22"/>
          <w:lang w:val="fr-FR"/>
        </w:rPr>
        <w:t xml:space="preserve">que les </w:t>
      </w:r>
      <w:r w:rsidRPr="00BC6E89">
        <w:rPr>
          <w:rFonts w:ascii="Verdana" w:hAnsi="Verdana" w:cs="Helvetica"/>
          <w:sz w:val="22"/>
          <w:szCs w:val="22"/>
          <w:lang w:val="fr-FR"/>
        </w:rPr>
        <w:t>décideurs politiques</w:t>
      </w:r>
      <w:r w:rsidR="00484705" w:rsidRPr="00BC6E89">
        <w:rPr>
          <w:rFonts w:ascii="Verdana" w:hAnsi="Verdana" w:cs="Helvetica"/>
          <w:sz w:val="22"/>
          <w:szCs w:val="22"/>
          <w:lang w:val="fr-FR"/>
        </w:rPr>
        <w:t xml:space="preserve"> sont encore capables </w:t>
      </w:r>
      <w:r w:rsidRPr="00BC6E89">
        <w:rPr>
          <w:rFonts w:ascii="Verdana" w:hAnsi="Verdana" w:cs="Helvetica"/>
          <w:sz w:val="22"/>
          <w:szCs w:val="22"/>
          <w:lang w:val="fr-FR"/>
        </w:rPr>
        <w:t>d’entendre les voix de la majorité écrasante de la socié</w:t>
      </w:r>
      <w:r w:rsidR="00484705" w:rsidRPr="00BC6E89">
        <w:rPr>
          <w:rFonts w:ascii="Verdana" w:hAnsi="Verdana" w:cs="Helvetica"/>
          <w:sz w:val="22"/>
          <w:szCs w:val="22"/>
          <w:lang w:val="fr-FR"/>
        </w:rPr>
        <w:t>té civile organisée qui refusent</w:t>
      </w:r>
      <w:r w:rsidRPr="00BC6E89">
        <w:rPr>
          <w:rFonts w:ascii="Verdana" w:hAnsi="Verdana" w:cs="Helvetica"/>
          <w:sz w:val="22"/>
          <w:szCs w:val="22"/>
          <w:lang w:val="fr-FR"/>
        </w:rPr>
        <w:t xml:space="preserve"> ce mécanisme.</w:t>
      </w:r>
    </w:p>
    <w:p w14:paraId="6D4C72B4" w14:textId="77777777" w:rsidR="00421E0A" w:rsidRPr="00BC6E89" w:rsidRDefault="00421E0A" w:rsidP="00421E0A">
      <w:pPr>
        <w:widowControl w:val="0"/>
        <w:autoSpaceDE w:val="0"/>
        <w:autoSpaceDN w:val="0"/>
        <w:adjustRightInd w:val="0"/>
        <w:rPr>
          <w:rFonts w:ascii="Verdana" w:hAnsi="Verdana" w:cs="Helvetica"/>
          <w:sz w:val="22"/>
          <w:szCs w:val="22"/>
          <w:lang w:val="fr-FR"/>
        </w:rPr>
      </w:pPr>
    </w:p>
    <w:p w14:paraId="28D9465F" w14:textId="77777777" w:rsidR="00421E0A" w:rsidRPr="00BC6E89" w:rsidRDefault="00421E0A" w:rsidP="00412097">
      <w:pPr>
        <w:pStyle w:val="Titre1"/>
        <w:numPr>
          <w:ilvl w:val="0"/>
          <w:numId w:val="3"/>
        </w:numPr>
        <w:rPr>
          <w:lang w:val="fr-FR"/>
        </w:rPr>
      </w:pPr>
      <w:bookmarkStart w:id="9" w:name="_Toc463603267"/>
      <w:r w:rsidRPr="00BC6E89">
        <w:rPr>
          <w:lang w:val="fr-FR"/>
        </w:rPr>
        <w:t>Concernant la protection des services publics</w:t>
      </w:r>
      <w:bookmarkEnd w:id="9"/>
    </w:p>
    <w:p w14:paraId="326D8267" w14:textId="77777777" w:rsidR="00421E0A" w:rsidRPr="00BC6E89" w:rsidRDefault="00421E0A" w:rsidP="00421E0A">
      <w:pPr>
        <w:widowControl w:val="0"/>
        <w:autoSpaceDE w:val="0"/>
        <w:autoSpaceDN w:val="0"/>
        <w:adjustRightInd w:val="0"/>
        <w:rPr>
          <w:rFonts w:ascii="Verdana" w:hAnsi="Verdana" w:cs="Helvetica"/>
          <w:sz w:val="22"/>
          <w:szCs w:val="22"/>
          <w:lang w:val="fr-FR"/>
        </w:rPr>
      </w:pPr>
    </w:p>
    <w:p w14:paraId="2E3085BB" w14:textId="3B90B6E5" w:rsidR="00421E0A" w:rsidRPr="00BC6E89" w:rsidRDefault="00421E0A" w:rsidP="00421E0A">
      <w:pPr>
        <w:widowControl w:val="0"/>
        <w:autoSpaceDE w:val="0"/>
        <w:autoSpaceDN w:val="0"/>
        <w:adjustRightInd w:val="0"/>
        <w:rPr>
          <w:rFonts w:ascii="Verdana" w:hAnsi="Verdana" w:cs="Helvetica"/>
          <w:sz w:val="22"/>
          <w:szCs w:val="22"/>
          <w:lang w:val="fr-FR"/>
        </w:rPr>
      </w:pPr>
      <w:r w:rsidRPr="00BC6E89">
        <w:rPr>
          <w:rFonts w:ascii="Verdana" w:hAnsi="Verdana" w:cs="Helvetica"/>
          <w:sz w:val="22"/>
          <w:szCs w:val="22"/>
          <w:lang w:val="fr-FR"/>
        </w:rPr>
        <w:t xml:space="preserve">Là encore les protocoles proposés par CLC et DGB offrent une formulation claire et </w:t>
      </w:r>
      <w:r w:rsidRPr="00BC6E89">
        <w:rPr>
          <w:rFonts w:ascii="Verdana" w:hAnsi="Verdana" w:cs="Helvetica"/>
          <w:sz w:val="22"/>
          <w:szCs w:val="22"/>
          <w:lang w:val="fr-FR"/>
        </w:rPr>
        <w:lastRenderedPageBreak/>
        <w:t xml:space="preserve">sans équivoque, bien plus rassurante que les mots utilisés dans </w:t>
      </w:r>
      <w:r w:rsidR="00484705" w:rsidRPr="00BC6E89">
        <w:rPr>
          <w:rFonts w:ascii="Verdana" w:hAnsi="Verdana" w:cs="Helvetica"/>
          <w:sz w:val="22"/>
          <w:szCs w:val="22"/>
          <w:lang w:val="fr-FR"/>
        </w:rPr>
        <w:t>la déclaration conjointe</w:t>
      </w:r>
      <w:r w:rsidRPr="00BC6E89">
        <w:rPr>
          <w:rFonts w:ascii="Verdana" w:hAnsi="Verdana" w:cs="Helvetica"/>
          <w:sz w:val="22"/>
          <w:szCs w:val="22"/>
          <w:lang w:val="fr-FR"/>
        </w:rPr>
        <w:t xml:space="preserve"> proposé</w:t>
      </w:r>
      <w:r w:rsidR="00484705" w:rsidRPr="00BC6E89">
        <w:rPr>
          <w:rFonts w:ascii="Verdana" w:hAnsi="Verdana" w:cs="Helvetica"/>
          <w:sz w:val="22"/>
          <w:szCs w:val="22"/>
          <w:lang w:val="fr-FR"/>
        </w:rPr>
        <w:t>e</w:t>
      </w:r>
      <w:r w:rsidRPr="00BC6E89">
        <w:rPr>
          <w:rFonts w:ascii="Verdana" w:hAnsi="Verdana" w:cs="Helvetica"/>
          <w:sz w:val="22"/>
          <w:szCs w:val="22"/>
          <w:lang w:val="fr-FR"/>
        </w:rPr>
        <w:t>. A nouveau, il revient aux rédacteurs de cet</w:t>
      </w:r>
      <w:r w:rsidR="00484705" w:rsidRPr="00BC6E89">
        <w:rPr>
          <w:rFonts w:ascii="Verdana" w:hAnsi="Verdana" w:cs="Helvetica"/>
          <w:sz w:val="22"/>
          <w:szCs w:val="22"/>
          <w:lang w:val="fr-FR"/>
        </w:rPr>
        <w:t xml:space="preserve">te déclaration </w:t>
      </w:r>
      <w:r w:rsidRPr="00BC6E89">
        <w:rPr>
          <w:rFonts w:ascii="Verdana" w:hAnsi="Verdana" w:cs="Helvetica"/>
          <w:sz w:val="22"/>
          <w:szCs w:val="22"/>
          <w:lang w:val="fr-FR"/>
        </w:rPr>
        <w:t>de justifier pourquoi ils n’ont pas choisi les formulations les plus protectrices. Par ailleurs, il a été répété à maintes occasions et notamment par la Confédération européenne des syndicats, que le principe-même de la libéralisation des services par liste négative pose problème, pour les raisons exposées ci-dessous, et faire une exception pour un seul accord ouvre une brèche pour toutes les entreprises du monde. </w:t>
      </w:r>
    </w:p>
    <w:p w14:paraId="16872862" w14:textId="77777777" w:rsidR="00421E0A" w:rsidRPr="00BC6E89" w:rsidRDefault="00421E0A" w:rsidP="00421E0A">
      <w:pPr>
        <w:widowControl w:val="0"/>
        <w:autoSpaceDE w:val="0"/>
        <w:autoSpaceDN w:val="0"/>
        <w:adjustRightInd w:val="0"/>
        <w:rPr>
          <w:rFonts w:ascii="Verdana" w:hAnsi="Verdana" w:cs="Helvetica"/>
          <w:sz w:val="22"/>
          <w:szCs w:val="22"/>
          <w:lang w:val="fr-FR"/>
        </w:rPr>
      </w:pPr>
    </w:p>
    <w:p w14:paraId="5A24FC16" w14:textId="77777777" w:rsidR="00421E0A" w:rsidRPr="00BC6E89" w:rsidRDefault="00421E0A" w:rsidP="00412097">
      <w:pPr>
        <w:pStyle w:val="Titre2"/>
        <w:numPr>
          <w:ilvl w:val="1"/>
          <w:numId w:val="3"/>
        </w:numPr>
      </w:pPr>
      <w:bookmarkStart w:id="10" w:name="_Toc463603268"/>
      <w:r w:rsidRPr="00BC6E89">
        <w:t>Difficulté liée à la liste négative : insécurité juridique pour les services d’intérêt général</w:t>
      </w:r>
      <w:bookmarkEnd w:id="10"/>
    </w:p>
    <w:p w14:paraId="57E7B294" w14:textId="77777777" w:rsidR="00421E0A" w:rsidRPr="00BC6E89" w:rsidRDefault="00421E0A" w:rsidP="00421E0A">
      <w:pPr>
        <w:rPr>
          <w:rFonts w:ascii="Verdana" w:hAnsi="Verdana"/>
          <w:sz w:val="22"/>
          <w:szCs w:val="22"/>
        </w:rPr>
      </w:pPr>
      <w:r w:rsidRPr="00BC6E89">
        <w:rPr>
          <w:rFonts w:ascii="Verdana" w:hAnsi="Verdana"/>
          <w:sz w:val="22"/>
          <w:szCs w:val="22"/>
        </w:rPr>
        <w:t>Cet accord d’un nouveau type est équipé d’un imposant chapitre 8 consacré aux investissements, qui peut, sans entrer dans le détail, être divisé en plusieurs sous-parties : l’établissement des investissements, le traitement non-discriminatoire, la protection des investissements et enfin le règlement des différends entre investisseurs et États. La définition de la notion d’investissement, qui permet de déterminer le champ d’application de ce chapitre, y est extrêmement large et pourrait tout à fait couvrir la fourniture de services publics de diverses manières (ex : investissements directs, établissements, concessions de service etc.). À la fourniture de ces services seraient alors applicables les obligations classiques contenues dans les accords commerciaux : accès au marché, traitement national et traitement de la nation la plus favorisée entre autres ; mais également tous les standards de protection relatifs aux investissements : traitement juste et équitable, protection et sécurité intégrale9, et protection contre l’expropriation directe et indirecte.</w:t>
      </w:r>
      <w:r w:rsidRPr="00BC6E89">
        <w:rPr>
          <w:rStyle w:val="Appelnotedebasdep"/>
          <w:rFonts w:ascii="Verdana" w:hAnsi="Verdana"/>
          <w:sz w:val="22"/>
          <w:szCs w:val="22"/>
        </w:rPr>
        <w:footnoteReference w:id="24"/>
      </w:r>
      <w:r w:rsidRPr="00BC6E89">
        <w:rPr>
          <w:rFonts w:ascii="Verdana" w:hAnsi="Verdana"/>
          <w:sz w:val="22"/>
          <w:szCs w:val="22"/>
        </w:rPr>
        <w:t xml:space="preserve"> </w:t>
      </w:r>
    </w:p>
    <w:p w14:paraId="6EBAC8C1" w14:textId="77777777" w:rsidR="00421E0A" w:rsidRPr="00BC6E89" w:rsidRDefault="00421E0A" w:rsidP="00421E0A">
      <w:pPr>
        <w:rPr>
          <w:rFonts w:ascii="Verdana" w:hAnsi="Verdana"/>
          <w:sz w:val="22"/>
          <w:szCs w:val="22"/>
        </w:rPr>
      </w:pPr>
    </w:p>
    <w:p w14:paraId="0EB49106" w14:textId="77777777" w:rsidR="00421E0A" w:rsidRDefault="00421E0A" w:rsidP="00421E0A">
      <w:pPr>
        <w:rPr>
          <w:rFonts w:ascii="Verdana" w:hAnsi="Verdana"/>
          <w:sz w:val="22"/>
          <w:szCs w:val="22"/>
        </w:rPr>
      </w:pPr>
      <w:r w:rsidRPr="00BC6E89">
        <w:rPr>
          <w:rFonts w:ascii="Verdana" w:hAnsi="Verdana"/>
          <w:sz w:val="22"/>
          <w:szCs w:val="22"/>
        </w:rPr>
        <w:t>Le plus puissant lobby représentant les entreprises marchandes de services, le European Services Forum (ESF), a été auditionné au Parlement wallon sur le CETA. Il a rappelé que le recours à l’approche de liste négative était une de ses demandes, que les autorités européennes ont exaucée.</w:t>
      </w:r>
      <w:r w:rsidRPr="00BC6E89">
        <w:rPr>
          <w:rStyle w:val="Appelnotedebasdep"/>
          <w:rFonts w:ascii="Verdana" w:hAnsi="Verdana"/>
          <w:sz w:val="22"/>
          <w:szCs w:val="22"/>
        </w:rPr>
        <w:footnoteReference w:id="25"/>
      </w:r>
      <w:r w:rsidRPr="00BC6E89">
        <w:rPr>
          <w:rFonts w:ascii="Verdana" w:hAnsi="Verdana"/>
          <w:sz w:val="22"/>
          <w:szCs w:val="22"/>
        </w:rPr>
        <w:t xml:space="preserve"> Il précise que le vocabulaire a du coup évolué : les secteurs libéralisés, dérèglementés, deviennent la norme et les mesures publiques qui sont maintenues sont appelées « mesures non conformes »</w:t>
      </w:r>
      <w:r w:rsidRPr="00BC6E89">
        <w:rPr>
          <w:rStyle w:val="Appelnotedebasdep"/>
          <w:rFonts w:ascii="Verdana" w:hAnsi="Verdana"/>
          <w:sz w:val="22"/>
          <w:szCs w:val="22"/>
        </w:rPr>
        <w:footnoteReference w:id="26"/>
      </w:r>
      <w:r w:rsidRPr="00BC6E89">
        <w:rPr>
          <w:rFonts w:ascii="Verdana" w:hAnsi="Verdana"/>
          <w:sz w:val="22"/>
          <w:szCs w:val="22"/>
        </w:rPr>
        <w:t xml:space="preserve">, ce qui place définitivement l’intérêt général dans la case « exception » qu’il faudrait progressivement « mettre en conformité » avec la règle générale qui est la loi du marché.  </w:t>
      </w:r>
    </w:p>
    <w:p w14:paraId="5B314548" w14:textId="77777777" w:rsidR="00D03113" w:rsidRPr="00BC6E89" w:rsidRDefault="00D03113" w:rsidP="00421E0A">
      <w:pPr>
        <w:rPr>
          <w:rFonts w:ascii="Verdana" w:hAnsi="Verdana"/>
          <w:sz w:val="22"/>
          <w:szCs w:val="22"/>
        </w:rPr>
      </w:pPr>
    </w:p>
    <w:p w14:paraId="402C3EDD" w14:textId="77777777" w:rsidR="00421E0A" w:rsidRPr="00BC6E89" w:rsidRDefault="00421E0A" w:rsidP="00421E0A">
      <w:pPr>
        <w:rPr>
          <w:rFonts w:ascii="Verdana" w:hAnsi="Verdana"/>
          <w:sz w:val="22"/>
          <w:szCs w:val="22"/>
        </w:rPr>
      </w:pPr>
      <w:r w:rsidRPr="00BC6E89">
        <w:rPr>
          <w:rFonts w:ascii="Verdana" w:hAnsi="Verdana"/>
          <w:sz w:val="22"/>
          <w:szCs w:val="22"/>
        </w:rPr>
        <w:t>Monsieur Kerneis du ESF ajoute qu’ils privilégient l’approche par liste négative car c’est « beaucoup plus transparent ». C’est là le cœur de la question : transparent pour qui ? L’approche négative est certainement plus transparente pour les grandes entreprises qui peuvent dorénavant envahir tout le marché à l’exception des quelques secteurs spécifiquement listés. Mais pour les pouvoir publics ou pour tout qui se préoccupe de l’intérêt général, la liste négative est tout sauf transparente.</w:t>
      </w:r>
    </w:p>
    <w:p w14:paraId="7C747A26" w14:textId="77777777" w:rsidR="00421E0A" w:rsidRPr="00BC6E89" w:rsidRDefault="00421E0A" w:rsidP="00421E0A">
      <w:pPr>
        <w:rPr>
          <w:rFonts w:ascii="Verdana" w:hAnsi="Verdana"/>
          <w:sz w:val="22"/>
          <w:szCs w:val="22"/>
        </w:rPr>
      </w:pPr>
    </w:p>
    <w:p w14:paraId="1B7F0A27" w14:textId="77777777" w:rsidR="00421E0A" w:rsidRPr="00BC6E89" w:rsidRDefault="00421E0A" w:rsidP="00421E0A">
      <w:pPr>
        <w:rPr>
          <w:rFonts w:ascii="Verdana" w:hAnsi="Verdana"/>
          <w:sz w:val="22"/>
          <w:szCs w:val="22"/>
        </w:rPr>
      </w:pPr>
      <w:r w:rsidRPr="00BC6E89">
        <w:rPr>
          <w:rFonts w:ascii="Verdana" w:hAnsi="Verdana"/>
          <w:sz w:val="22"/>
          <w:szCs w:val="22"/>
        </w:rPr>
        <w:t>Selon l’approche adoptée dans les traités passés, la liste « positive », il était facile de savoir quelles activités étaient libéralisées : seulement celles reprises dans la liste. Un telle approche permettrait d’avoir un débat public, au cas par cas, avec consultation de la société civile, sur l’opportunité d’ajouter des activités à la liste des secteurs libéralisés et de supprimer des règlementations existantes bien identifiées. Par contre la liste négative rend la lecture et la protection de l’intérêt général « extrêmement difficile »</w:t>
      </w:r>
      <w:r w:rsidRPr="00BC6E89">
        <w:rPr>
          <w:rStyle w:val="Appelnotedebasdep"/>
          <w:rFonts w:ascii="Verdana" w:hAnsi="Verdana"/>
          <w:sz w:val="22"/>
          <w:szCs w:val="22"/>
        </w:rPr>
        <w:footnoteReference w:id="27"/>
      </w:r>
      <w:r w:rsidRPr="00BC6E89">
        <w:rPr>
          <w:rFonts w:ascii="Verdana" w:hAnsi="Verdana"/>
          <w:sz w:val="22"/>
          <w:szCs w:val="22"/>
        </w:rPr>
        <w:t>. Les activités de service sont classifiées selon une codification établie par l’ONU, avec des codes à 3, 4 ou 5 chiffres. La liste de ces codes fait 618 pages.</w:t>
      </w:r>
      <w:r w:rsidRPr="00BC6E89">
        <w:rPr>
          <w:rStyle w:val="Appelnotedebasdep"/>
          <w:rFonts w:ascii="Verdana" w:hAnsi="Verdana"/>
          <w:sz w:val="22"/>
          <w:szCs w:val="22"/>
        </w:rPr>
        <w:footnoteReference w:id="28"/>
      </w:r>
      <w:r w:rsidRPr="00BC6E89">
        <w:rPr>
          <w:rFonts w:ascii="Verdana" w:hAnsi="Verdana"/>
          <w:sz w:val="22"/>
          <w:szCs w:val="22"/>
        </w:rPr>
        <w:t xml:space="preserve"> Pour savoir quels services sont libéralisés, il faut comparer ces 618 qui répertorient toutes les activités de service existantes aux 867 pages dans le CETA</w:t>
      </w:r>
      <w:r w:rsidRPr="00BC6E89">
        <w:rPr>
          <w:rStyle w:val="Appelnotedebasdep"/>
          <w:rFonts w:ascii="Verdana" w:hAnsi="Verdana"/>
          <w:sz w:val="22"/>
          <w:szCs w:val="22"/>
        </w:rPr>
        <w:footnoteReference w:id="29"/>
      </w:r>
      <w:r w:rsidRPr="00BC6E89">
        <w:rPr>
          <w:rFonts w:ascii="Verdana" w:hAnsi="Verdana"/>
          <w:sz w:val="22"/>
          <w:szCs w:val="22"/>
        </w:rPr>
        <w:t xml:space="preserve"> reprenant listes de codes que chaque pays a protégé pour savoir quels codes ne sont </w:t>
      </w:r>
      <w:r w:rsidRPr="00BC6E89">
        <w:rPr>
          <w:rFonts w:ascii="Verdana" w:hAnsi="Verdana"/>
          <w:i/>
          <w:sz w:val="22"/>
          <w:szCs w:val="22"/>
        </w:rPr>
        <w:t>pas</w:t>
      </w:r>
      <w:r w:rsidRPr="00BC6E89">
        <w:rPr>
          <w:rFonts w:ascii="Verdana" w:hAnsi="Verdana"/>
          <w:sz w:val="22"/>
          <w:szCs w:val="22"/>
        </w:rPr>
        <w:t xml:space="preserve"> protégés en Belgique et en Europe, et quelles implications possibles pour ces secteurs. Une autre approche possible, relativement plus praticable, consiste à observer les différences entre les réserves se trouvant dans les listes négatives de chaque Etat membre européen entre elles et avec la liste européenne</w:t>
      </w:r>
      <w:r w:rsidRPr="00BC6E89">
        <w:rPr>
          <w:rStyle w:val="Appelnotedebasdep"/>
          <w:rFonts w:ascii="Verdana" w:hAnsi="Verdana"/>
          <w:sz w:val="22"/>
          <w:szCs w:val="22"/>
        </w:rPr>
        <w:footnoteReference w:id="30"/>
      </w:r>
      <w:r w:rsidRPr="00BC6E89">
        <w:rPr>
          <w:rFonts w:ascii="Verdana" w:hAnsi="Verdana"/>
          <w:sz w:val="22"/>
          <w:szCs w:val="22"/>
        </w:rPr>
        <w:t>. Il existe heureusement un tableau reprenant en quatre pages les secteurs protégés par l’UE et par chaque pays membre, ce qui facilite grandement les comparaisons</w:t>
      </w:r>
      <w:r w:rsidRPr="00BC6E89">
        <w:rPr>
          <w:rStyle w:val="Appelnotedebasdep"/>
          <w:rFonts w:ascii="Verdana" w:hAnsi="Verdana"/>
          <w:sz w:val="22"/>
          <w:szCs w:val="22"/>
        </w:rPr>
        <w:footnoteReference w:id="31"/>
      </w:r>
      <w:r w:rsidRPr="00BC6E89">
        <w:rPr>
          <w:rFonts w:ascii="Verdana" w:hAnsi="Verdana"/>
          <w:sz w:val="22"/>
          <w:szCs w:val="22"/>
        </w:rPr>
        <w:t xml:space="preserve">. Mais même avec ces outils, identifier les risques exacts qui pèsent sur l’accès aux services de base requiert un travail considérable, qui ne semble pas avoir été mené, ou du moins pas publiquement, par les autorités qui s’apprêtent à signer ce traité. On essaie ici d’entamer ce travail pour quelques uns des centaines de secteurs économiques concernés. </w:t>
      </w:r>
    </w:p>
    <w:p w14:paraId="73B547DE" w14:textId="77777777" w:rsidR="00421E0A" w:rsidRPr="00BC6E89" w:rsidRDefault="00421E0A" w:rsidP="00421E0A">
      <w:pPr>
        <w:rPr>
          <w:rFonts w:ascii="Verdana" w:hAnsi="Verdana"/>
          <w:sz w:val="22"/>
          <w:szCs w:val="22"/>
        </w:rPr>
      </w:pPr>
    </w:p>
    <w:p w14:paraId="0C92F75A" w14:textId="77777777" w:rsidR="00421E0A" w:rsidRPr="00BC6E89" w:rsidRDefault="00421E0A" w:rsidP="00421E0A">
      <w:pPr>
        <w:rPr>
          <w:rFonts w:ascii="Verdana" w:hAnsi="Verdana"/>
          <w:sz w:val="22"/>
          <w:szCs w:val="22"/>
        </w:rPr>
      </w:pPr>
      <w:r w:rsidRPr="00BC6E89">
        <w:rPr>
          <w:rFonts w:ascii="Verdana" w:hAnsi="Verdana"/>
          <w:sz w:val="22"/>
          <w:szCs w:val="22"/>
        </w:rPr>
        <w:t xml:space="preserve">A la lecture de la liste négative, en comparant les listes de chaque pays, il ressort l’impression d’une certaine improvisation dans la rédaction, voire certaines incohérences, par exemple entre l’annexe 1 et l’annexe 2 et des domaines préservés par certains pays dans l’annexe 2 sans qu’on comprenne ce qui pourrait justifier que les autres pays ne l’ont pas fait. </w:t>
      </w:r>
    </w:p>
    <w:p w14:paraId="7D27FA27" w14:textId="77777777" w:rsidR="00421E0A" w:rsidRPr="00BC6E89" w:rsidRDefault="00421E0A" w:rsidP="00421E0A">
      <w:pPr>
        <w:rPr>
          <w:rFonts w:ascii="Verdana" w:hAnsi="Verdana"/>
          <w:sz w:val="22"/>
          <w:szCs w:val="22"/>
        </w:rPr>
      </w:pPr>
      <w:r w:rsidRPr="00BC6E89">
        <w:rPr>
          <w:rFonts w:ascii="Verdana" w:hAnsi="Verdana"/>
          <w:sz w:val="22"/>
          <w:szCs w:val="22"/>
        </w:rPr>
        <w:t>Enfin, précisons que, bien entendu, traduire la liste négative en liste positive serait une première étape utile mais ne suffirait probablement pas à rendre le CETA acceptable en la matière. Cela permettrait simplement d’ouvrir le débat sur cette liste positive pour définir, ligne par ligne, quels secteurs semblent pertinents à soumettre davantage aux lois du marché et soustraire aux lois de la démocratie.</w:t>
      </w:r>
    </w:p>
    <w:p w14:paraId="01B4AECC" w14:textId="77777777" w:rsidR="00421E0A" w:rsidRPr="00BC6E89" w:rsidRDefault="00421E0A" w:rsidP="00421E0A">
      <w:pPr>
        <w:widowControl w:val="0"/>
        <w:autoSpaceDE w:val="0"/>
        <w:autoSpaceDN w:val="0"/>
        <w:adjustRightInd w:val="0"/>
        <w:rPr>
          <w:rFonts w:ascii="Verdana" w:hAnsi="Verdana" w:cs="Helvetica"/>
          <w:sz w:val="22"/>
          <w:szCs w:val="22"/>
          <w:lang w:val="fr-FR"/>
        </w:rPr>
      </w:pPr>
    </w:p>
    <w:p w14:paraId="0BA268B5" w14:textId="77777777" w:rsidR="00421E0A" w:rsidRPr="00BC6E89" w:rsidRDefault="00421E0A" w:rsidP="00412097">
      <w:pPr>
        <w:pStyle w:val="Titre2"/>
        <w:numPr>
          <w:ilvl w:val="1"/>
          <w:numId w:val="3"/>
        </w:numPr>
      </w:pPr>
      <w:bookmarkStart w:id="11" w:name="_Toc463603269"/>
      <w:r w:rsidRPr="00BC6E89">
        <w:t>Si tout est libéralisé, quid des services qui n’existent pas encore ?</w:t>
      </w:r>
      <w:bookmarkEnd w:id="11"/>
    </w:p>
    <w:p w14:paraId="70979BC1" w14:textId="77777777" w:rsidR="00421E0A" w:rsidRPr="00BC6E89" w:rsidRDefault="00421E0A" w:rsidP="00421E0A">
      <w:pPr>
        <w:rPr>
          <w:rFonts w:ascii="Verdana" w:hAnsi="Verdana"/>
          <w:sz w:val="22"/>
          <w:szCs w:val="22"/>
        </w:rPr>
      </w:pPr>
      <w:r w:rsidRPr="00BC6E89">
        <w:rPr>
          <w:rFonts w:ascii="Verdana" w:hAnsi="Verdana"/>
          <w:sz w:val="22"/>
          <w:szCs w:val="22"/>
        </w:rPr>
        <w:t xml:space="preserve">La règle générale est la libéralisation. Seuls peuvent encore être règlementés les services listés. Qu’en est-il alors des activités qui n’existent pas encore ? Elles seront, a priori, de facto libéralisées. Si un tel accord avait été négocié il y a 30 ou </w:t>
      </w:r>
      <w:r w:rsidRPr="00BC6E89">
        <w:rPr>
          <w:rFonts w:ascii="Verdana" w:hAnsi="Verdana"/>
          <w:sz w:val="22"/>
          <w:szCs w:val="22"/>
        </w:rPr>
        <w:lastRenderedPageBreak/>
        <w:t xml:space="preserve">40 ans, aurait-on pensé à préserver les règlementations concernant la vente de médicaments par internet ? La révolution numérique illustre à l’envi la réelle possibilité qu’une activité économique inexistante aujourd’hui pourrait occuper une place importante dans l’économie de demain. Si dans 30 ans une entreprise développe une technologie d’implantation de puces électroniques dans le cerveau, ne souhaiterions-nous pas conserver la marge de manœuvre la plus large possible pour contrôler quelles entreprises peuvent obtenir une licence pour exercer de telles activités ? </w:t>
      </w:r>
    </w:p>
    <w:p w14:paraId="033F2E33" w14:textId="77777777" w:rsidR="00421E0A" w:rsidRPr="00BC6E89" w:rsidRDefault="00421E0A" w:rsidP="00421E0A">
      <w:pPr>
        <w:rPr>
          <w:rFonts w:ascii="Verdana" w:hAnsi="Verdana"/>
          <w:sz w:val="22"/>
          <w:szCs w:val="22"/>
        </w:rPr>
      </w:pPr>
    </w:p>
    <w:p w14:paraId="29DBFEDF" w14:textId="61526617" w:rsidR="00421E0A" w:rsidRPr="00412097" w:rsidRDefault="00421E0A" w:rsidP="00412097">
      <w:pPr>
        <w:pStyle w:val="Titre2"/>
        <w:numPr>
          <w:ilvl w:val="1"/>
          <w:numId w:val="3"/>
        </w:numPr>
      </w:pPr>
      <w:bookmarkStart w:id="12" w:name="_Toc463603270"/>
      <w:r w:rsidRPr="00412097">
        <w:t xml:space="preserve">CETA, cheval de Troie du TTIP et de toutes les entreprises </w:t>
      </w:r>
      <w:r w:rsidR="00484705" w:rsidRPr="00412097">
        <w:t xml:space="preserve">privées </w:t>
      </w:r>
      <w:r w:rsidRPr="00412097">
        <w:t>de services du monde</w:t>
      </w:r>
      <w:bookmarkEnd w:id="12"/>
    </w:p>
    <w:p w14:paraId="77CD6829" w14:textId="77777777" w:rsidR="00421E0A" w:rsidRPr="00BC6E89" w:rsidRDefault="00421E0A" w:rsidP="00421E0A">
      <w:pPr>
        <w:rPr>
          <w:rFonts w:ascii="Verdana" w:hAnsi="Verdana"/>
          <w:sz w:val="22"/>
          <w:szCs w:val="22"/>
        </w:rPr>
      </w:pPr>
      <w:r w:rsidRPr="00BC6E89">
        <w:rPr>
          <w:rFonts w:ascii="Verdana" w:hAnsi="Verdana"/>
          <w:sz w:val="22"/>
          <w:szCs w:val="22"/>
        </w:rPr>
        <w:t>Pascal Kerneis, du European Services Forum, précisait aux députés wallons que le CETA était le premier traité européen et peut-être le seul à contenir une libéralisation par liste négative. Mais il nous explique aussi, malgré lui, en quoi un seul serait déjà un de trop :</w:t>
      </w:r>
    </w:p>
    <w:p w14:paraId="1E21D1C0" w14:textId="77777777" w:rsidR="00421E0A" w:rsidRPr="00BC6E89" w:rsidRDefault="00421E0A" w:rsidP="00421E0A">
      <w:pPr>
        <w:rPr>
          <w:rFonts w:ascii="Verdana" w:hAnsi="Verdana"/>
          <w:i/>
          <w:sz w:val="22"/>
          <w:szCs w:val="22"/>
        </w:rPr>
      </w:pPr>
      <w:r w:rsidRPr="00BC6E89">
        <w:rPr>
          <w:rFonts w:ascii="Verdana" w:hAnsi="Verdana"/>
          <w:i/>
          <w:sz w:val="22"/>
          <w:szCs w:val="22"/>
        </w:rPr>
        <w:t>« La clause de la nation la plus favorisée, qui est une clause très importante à comprendre, puisque si elle est inscrite dans le traité, cela veut dire que si l'Union européenne, dans le cadre d'une négociation future, par exemple avec les États-Unis ou avec le Japon, décide d'ouvrir un secteur avec lequel elle n'a pas ouvert pour le Canada, si aux États-Unis c'est écrit que l'on ouvre un secteur qui ne l'était pas auparavant, le Canada va en bénéficier automatiquement, il n'a pas besoin de revenir à la table des négociations pour demander à l'Union européenne : « Je n'ai pas eu cela, je voudrais avoir cela ». La clause de la nation la plus favorisée s'en occupe. » »</w:t>
      </w:r>
      <w:r w:rsidRPr="00BC6E89">
        <w:rPr>
          <w:rStyle w:val="Appelnotedebasdep"/>
          <w:rFonts w:ascii="Verdana" w:hAnsi="Verdana"/>
          <w:i/>
          <w:sz w:val="22"/>
          <w:szCs w:val="22"/>
        </w:rPr>
        <w:footnoteReference w:id="32"/>
      </w:r>
    </w:p>
    <w:p w14:paraId="1278791C" w14:textId="77777777" w:rsidR="00421E0A" w:rsidRPr="00BC6E89" w:rsidRDefault="00421E0A" w:rsidP="00421E0A">
      <w:pPr>
        <w:rPr>
          <w:rFonts w:ascii="Verdana" w:hAnsi="Verdana"/>
          <w:sz w:val="22"/>
          <w:szCs w:val="22"/>
        </w:rPr>
      </w:pPr>
      <w:r w:rsidRPr="00BC6E89">
        <w:rPr>
          <w:rFonts w:ascii="Verdana" w:hAnsi="Verdana"/>
          <w:sz w:val="22"/>
          <w:szCs w:val="22"/>
        </w:rPr>
        <w:t>Donc, inversement, le TTIP ou le traité avec Singapour (une plaque tournante où la plupart des entreprises d’Asie</w:t>
      </w:r>
      <w:r w:rsidRPr="00BC6E89">
        <w:rPr>
          <w:rFonts w:ascii="Verdana" w:hAnsi="Verdana"/>
          <w:i/>
          <w:sz w:val="22"/>
          <w:szCs w:val="22"/>
        </w:rPr>
        <w:t xml:space="preserve"> </w:t>
      </w:r>
      <w:r w:rsidRPr="00BC6E89">
        <w:rPr>
          <w:rFonts w:ascii="Verdana" w:hAnsi="Verdana"/>
          <w:sz w:val="22"/>
          <w:szCs w:val="22"/>
        </w:rPr>
        <w:t xml:space="preserve">ont une filiale), même s’ils n’adoptent pas la liste négative, permettront aux entreprises américaines et singapouriennes d’avoir accès à tous les secteurs libéralisés par le CETA. Enfin, la dynamique de négociation pour les traités suivants est déjà connue: D’une part on sait que que, dans le cadre du TTIP, la Commission européenne privilégie la liste hybride (négative pour l’accès au marché, positive pour le traitement nationale) tandis que les USA préfèrent une liste entièrement négative. Il est fort probable qu’il ne s’agisse dans le chef de la Commission européenne que d’une posture de négociation, pour avoir quelque chose à céder aux américains en cours de route en échange d’une autre concession de leur part. Quoiqu’il en soit, il sera d’autant plus difficile pour l’UE de refuser un TTIP avec liste négative complète si elle l’accepte dans le CETA. </w:t>
      </w:r>
    </w:p>
    <w:p w14:paraId="32CAF027" w14:textId="77777777" w:rsidR="00421E0A" w:rsidRPr="00BC6E89" w:rsidRDefault="00421E0A" w:rsidP="00421E0A">
      <w:pPr>
        <w:rPr>
          <w:rFonts w:ascii="Verdana" w:hAnsi="Verdana"/>
          <w:sz w:val="22"/>
          <w:szCs w:val="22"/>
        </w:rPr>
      </w:pPr>
      <w:r w:rsidRPr="00BC6E89">
        <w:rPr>
          <w:rFonts w:ascii="Verdana" w:hAnsi="Verdana"/>
          <w:sz w:val="22"/>
          <w:szCs w:val="22"/>
        </w:rPr>
        <w:t xml:space="preserve">D’autre part, selon les informations qui transparaissent des autres négociations en cours, malheureusement secrètes, il semblerait que la Commission européenne demande aux Etat membres de prendre le CETA comme point de départ et de réduire la liste de secteurs protégés. La logique de la liste négative est, là encore, celle de la fuite en avant vers toujours plus de libéralisation. </w:t>
      </w:r>
    </w:p>
    <w:p w14:paraId="2E6BDEDD" w14:textId="77777777" w:rsidR="00421E0A" w:rsidRPr="00BC6E89" w:rsidRDefault="00421E0A" w:rsidP="00421E0A">
      <w:pPr>
        <w:rPr>
          <w:rFonts w:ascii="Verdana" w:hAnsi="Verdana"/>
          <w:sz w:val="22"/>
          <w:szCs w:val="22"/>
        </w:rPr>
      </w:pPr>
    </w:p>
    <w:p w14:paraId="7B517DD4" w14:textId="77777777" w:rsidR="00421E0A" w:rsidRPr="00BC6E89" w:rsidRDefault="00421E0A" w:rsidP="00421E0A">
      <w:pPr>
        <w:rPr>
          <w:rFonts w:ascii="Verdana" w:hAnsi="Verdana"/>
          <w:sz w:val="22"/>
          <w:szCs w:val="22"/>
        </w:rPr>
      </w:pPr>
      <w:r w:rsidRPr="00BC6E89">
        <w:rPr>
          <w:rFonts w:ascii="Verdana" w:hAnsi="Verdana"/>
          <w:sz w:val="22"/>
          <w:szCs w:val="22"/>
        </w:rPr>
        <w:t>Sans même attendre l’entrée en vigueur de ces traités, il suffirait à n’importe quelle entreprise dans le monde de passer par une filiale au Canada pour accéder au marché européen et réclamer la suppression de règlementations qui ne seraient pas explicitement protégées dans le CETA.</w:t>
      </w:r>
    </w:p>
    <w:p w14:paraId="00551B0A" w14:textId="77777777" w:rsidR="00421E0A" w:rsidRPr="00BC6E89" w:rsidRDefault="00421E0A" w:rsidP="00421E0A">
      <w:pPr>
        <w:widowControl w:val="0"/>
        <w:autoSpaceDE w:val="0"/>
        <w:autoSpaceDN w:val="0"/>
        <w:adjustRightInd w:val="0"/>
        <w:rPr>
          <w:rFonts w:ascii="Verdana" w:hAnsi="Verdana" w:cs="Helvetica"/>
          <w:sz w:val="22"/>
          <w:szCs w:val="22"/>
          <w:lang w:val="fr-FR"/>
        </w:rPr>
      </w:pPr>
    </w:p>
    <w:p w14:paraId="5BFB0D32" w14:textId="49A76DD9" w:rsidR="00421E0A" w:rsidRPr="00BC6E89" w:rsidRDefault="00421E0A" w:rsidP="00412097">
      <w:pPr>
        <w:pStyle w:val="Titre2"/>
        <w:numPr>
          <w:ilvl w:val="1"/>
          <w:numId w:val="3"/>
        </w:numPr>
      </w:pPr>
      <w:bookmarkStart w:id="13" w:name="_Toc463603271"/>
      <w:r w:rsidRPr="00BC6E89">
        <w:t>La libéralisation, toujours plus loin, comme voie sans issue</w:t>
      </w:r>
      <w:bookmarkEnd w:id="13"/>
    </w:p>
    <w:p w14:paraId="49362AB4" w14:textId="77777777" w:rsidR="00421E0A" w:rsidRPr="00BC6E89" w:rsidRDefault="00421E0A" w:rsidP="00421E0A">
      <w:pPr>
        <w:rPr>
          <w:rFonts w:ascii="Verdana" w:hAnsi="Verdana"/>
          <w:sz w:val="22"/>
          <w:szCs w:val="22"/>
        </w:rPr>
      </w:pPr>
      <w:r w:rsidRPr="00BC6E89">
        <w:rPr>
          <w:rFonts w:ascii="Verdana" w:hAnsi="Verdana"/>
          <w:sz w:val="22"/>
          <w:szCs w:val="22"/>
        </w:rPr>
        <w:t>Le CETA contient une clause de « cliquet » qui signifie que les règlementations existantes protégées par l’annexe 1 ne pourront être modifiées à l’avenir que dans le sens de plus de libéralisation, sans correction ultérieure possible.</w:t>
      </w:r>
      <w:r w:rsidRPr="00BC6E89">
        <w:rPr>
          <w:rStyle w:val="Appelnotedebasdep"/>
          <w:rFonts w:ascii="Verdana" w:hAnsi="Verdana"/>
          <w:sz w:val="22"/>
          <w:szCs w:val="22"/>
        </w:rPr>
        <w:footnoteReference w:id="33"/>
      </w:r>
      <w:r w:rsidRPr="00BC6E89">
        <w:rPr>
          <w:rFonts w:ascii="Verdana" w:hAnsi="Verdana"/>
          <w:sz w:val="22"/>
          <w:szCs w:val="22"/>
        </w:rPr>
        <w:t xml:space="preserve"> La protection accordée aux services publics listés dans l’annexe 1 est donc (dans l’esprit des négociateurs et en pratique) amenée à disparaitre avec le temps. </w:t>
      </w:r>
    </w:p>
    <w:p w14:paraId="3E112710" w14:textId="77777777" w:rsidR="00421E0A" w:rsidRPr="00BC6E89" w:rsidRDefault="00421E0A" w:rsidP="00421E0A">
      <w:pPr>
        <w:rPr>
          <w:rFonts w:ascii="Verdana" w:hAnsi="Verdana"/>
          <w:sz w:val="22"/>
          <w:szCs w:val="22"/>
        </w:rPr>
      </w:pPr>
      <w:r w:rsidRPr="00BC6E89">
        <w:rPr>
          <w:rFonts w:ascii="Verdana" w:hAnsi="Verdana"/>
          <w:sz w:val="22"/>
          <w:szCs w:val="22"/>
        </w:rPr>
        <w:t>L’entrée en vigueur du CETA signifie donc que dans la plupart des activités de service les générations futures ne pourront pas faire le choix démocratique de réintroduire des règlementations, par exemple pour garantir l’accès universel à des services de base, par exemple via la remunicipalisation d’un secteur de service. C’est là une restriction irréversible de l’espace démocratique, peut-être plus grave encore que la clause d’arbitrage prévue par le CETA.</w:t>
      </w:r>
    </w:p>
    <w:p w14:paraId="33146B54" w14:textId="77777777" w:rsidR="00421E0A" w:rsidRPr="00BC6E89" w:rsidRDefault="00421E0A" w:rsidP="00421E0A">
      <w:pPr>
        <w:widowControl w:val="0"/>
        <w:autoSpaceDE w:val="0"/>
        <w:autoSpaceDN w:val="0"/>
        <w:adjustRightInd w:val="0"/>
        <w:rPr>
          <w:rFonts w:ascii="Verdana" w:hAnsi="Verdana" w:cs="Tahoma"/>
          <w:color w:val="262626"/>
          <w:sz w:val="22"/>
          <w:szCs w:val="22"/>
          <w:lang w:val="fr-FR"/>
        </w:rPr>
      </w:pPr>
    </w:p>
    <w:p w14:paraId="3166392D" w14:textId="0CE9AC47" w:rsidR="00421E0A" w:rsidRPr="00BC6E89" w:rsidRDefault="00421E0A" w:rsidP="00421E0A">
      <w:pPr>
        <w:widowControl w:val="0"/>
        <w:autoSpaceDE w:val="0"/>
        <w:autoSpaceDN w:val="0"/>
        <w:adjustRightInd w:val="0"/>
        <w:rPr>
          <w:rFonts w:ascii="Verdana" w:hAnsi="Verdana" w:cs="Tahoma"/>
          <w:color w:val="262626"/>
          <w:sz w:val="22"/>
          <w:szCs w:val="22"/>
          <w:lang w:val="fr-FR"/>
        </w:rPr>
      </w:pPr>
      <w:r w:rsidRPr="00BC6E89">
        <w:rPr>
          <w:rFonts w:ascii="Verdana" w:hAnsi="Verdana" w:cs="Tahoma"/>
          <w:color w:val="262626"/>
          <w:sz w:val="22"/>
          <w:szCs w:val="22"/>
          <w:lang w:val="fr-FR"/>
        </w:rPr>
        <w:t>C’est peut-être le seul point sur lequel la déclaration interprétative, en fonction de sa formulation exacte et de sa valeur juridique, apporte un élément intéressant : elle prévoit qu’un gouvernement conserve sa capacité à « remunicipaliser » un service. C’est intéressant car (re)créer un secteur de service collectivisé et fermé à des prestataires étrangers est en contradiction directe avec les engagements d’accès au marché dans le chapitre 8 du CETA, avec la clause de cliquet et pourrait être interprété comme une expropriation ou un traitement injuste et inéquitable proscrits par le chapitre 8. S’il est acté dans une annexe contraignante au traité que le droit de remunicipaliser un secteur d’activité supplante la clause de cliquet, les clauses d’accès au marché, le traitement « juste et équitable » et la clause sur l’expropriation (à peu de choses près tout le chapitre 8, donc), alors cela constituerait une avancée</w:t>
      </w:r>
      <w:r w:rsidR="00484705" w:rsidRPr="00BC6E89">
        <w:rPr>
          <w:rFonts w:ascii="Verdana" w:hAnsi="Verdana" w:cs="Tahoma"/>
          <w:color w:val="262626"/>
          <w:sz w:val="22"/>
          <w:szCs w:val="22"/>
          <w:lang w:val="fr-FR"/>
        </w:rPr>
        <w:t xml:space="preserve">… s’il s’agissait d’un protocole intégré au traité et qui prévaut sur les formulations du chapitre 8. </w:t>
      </w:r>
    </w:p>
    <w:p w14:paraId="5AF49FC1" w14:textId="77777777" w:rsidR="0077554B" w:rsidRPr="00BC6E89" w:rsidRDefault="0077554B" w:rsidP="00421E0A">
      <w:pPr>
        <w:widowControl w:val="0"/>
        <w:autoSpaceDE w:val="0"/>
        <w:autoSpaceDN w:val="0"/>
        <w:adjustRightInd w:val="0"/>
        <w:rPr>
          <w:rFonts w:ascii="Verdana" w:hAnsi="Verdana" w:cs="Tahoma"/>
          <w:color w:val="262626"/>
          <w:sz w:val="22"/>
          <w:szCs w:val="22"/>
          <w:lang w:val="fr-FR"/>
        </w:rPr>
      </w:pPr>
    </w:p>
    <w:p w14:paraId="632162B0" w14:textId="78DC5055" w:rsidR="0077554B" w:rsidRPr="00BC6E89" w:rsidRDefault="0077554B" w:rsidP="00412097">
      <w:pPr>
        <w:pStyle w:val="Titre2"/>
        <w:numPr>
          <w:ilvl w:val="1"/>
          <w:numId w:val="3"/>
        </w:numPr>
        <w:rPr>
          <w:lang w:val="fr-FR"/>
        </w:rPr>
      </w:pPr>
      <w:bookmarkStart w:id="14" w:name="_Toc463603272"/>
      <w:r w:rsidRPr="00BC6E89">
        <w:rPr>
          <w:lang w:val="fr-FR"/>
        </w:rPr>
        <w:t>Quelques exemples d’impacts concrets sectoriels</w:t>
      </w:r>
      <w:bookmarkEnd w:id="14"/>
    </w:p>
    <w:p w14:paraId="75A19C35" w14:textId="77777777" w:rsidR="0077554B" w:rsidRPr="00BC6E89" w:rsidRDefault="0077554B" w:rsidP="00421E0A">
      <w:pPr>
        <w:widowControl w:val="0"/>
        <w:autoSpaceDE w:val="0"/>
        <w:autoSpaceDN w:val="0"/>
        <w:adjustRightInd w:val="0"/>
        <w:rPr>
          <w:rFonts w:ascii="Verdana" w:hAnsi="Verdana" w:cs="Tahoma"/>
          <w:color w:val="262626"/>
          <w:sz w:val="22"/>
          <w:szCs w:val="22"/>
          <w:lang w:val="fr-FR"/>
        </w:rPr>
      </w:pPr>
    </w:p>
    <w:p w14:paraId="39AC4E03" w14:textId="00CF7406" w:rsidR="00421E0A" w:rsidRPr="00BC6E89" w:rsidRDefault="0077554B" w:rsidP="001A04C5">
      <w:pPr>
        <w:pStyle w:val="Titre3"/>
        <w:numPr>
          <w:ilvl w:val="2"/>
          <w:numId w:val="3"/>
        </w:numPr>
        <w:rPr>
          <w:lang w:val="fr-FR"/>
        </w:rPr>
      </w:pPr>
      <w:bookmarkStart w:id="15" w:name="_Toc463603273"/>
      <w:r w:rsidRPr="00BC6E89">
        <w:rPr>
          <w:lang w:val="fr-FR"/>
        </w:rPr>
        <w:t>L’enseignement</w:t>
      </w:r>
      <w:bookmarkEnd w:id="15"/>
    </w:p>
    <w:p w14:paraId="2D0F455D" w14:textId="77777777" w:rsidR="0077554B" w:rsidRPr="00BC6E89" w:rsidRDefault="0077554B" w:rsidP="00421E0A">
      <w:pPr>
        <w:widowControl w:val="0"/>
        <w:autoSpaceDE w:val="0"/>
        <w:autoSpaceDN w:val="0"/>
        <w:adjustRightInd w:val="0"/>
        <w:rPr>
          <w:rFonts w:ascii="Verdana" w:hAnsi="Verdana" w:cs="Tahoma"/>
          <w:color w:val="262626"/>
          <w:sz w:val="22"/>
          <w:szCs w:val="22"/>
          <w:lang w:val="fr-FR"/>
        </w:rPr>
      </w:pPr>
    </w:p>
    <w:p w14:paraId="3D64CDCB" w14:textId="77777777" w:rsidR="0077554B" w:rsidRPr="00BC6E89" w:rsidRDefault="0077554B" w:rsidP="0077554B">
      <w:pPr>
        <w:rPr>
          <w:rFonts w:ascii="Verdana" w:hAnsi="Verdana"/>
          <w:color w:val="000000" w:themeColor="text1"/>
          <w:sz w:val="22"/>
          <w:szCs w:val="22"/>
        </w:rPr>
      </w:pPr>
      <w:r w:rsidRPr="00BC6E89">
        <w:rPr>
          <w:rFonts w:ascii="Verdana" w:hAnsi="Verdana"/>
          <w:color w:val="000000" w:themeColor="text1"/>
          <w:sz w:val="22"/>
          <w:szCs w:val="22"/>
        </w:rPr>
        <w:t xml:space="preserve">Le Comité syndical européen de l’éducation (CSEE) rappelle que </w:t>
      </w:r>
      <w:r w:rsidRPr="00BC6E89">
        <w:rPr>
          <w:rFonts w:ascii="Verdana" w:hAnsi="Verdana"/>
          <w:i/>
          <w:color w:val="000000" w:themeColor="text1"/>
          <w:sz w:val="22"/>
          <w:szCs w:val="22"/>
        </w:rPr>
        <w:t xml:space="preserve">le gouvernement britannique a récemment indiqué dans sa stratégie internationale en matière d'éducation que « pour que le Royaume-Uni tire le meilleur parti des débouchés planétaires dans le secteur éducatif, le gouvernement va s'employer à étudier comment ces importantes négociations commerciales, en cours ou futures, peuvent lever les obstacles à l'accès au marché auxquels nos prestataires de services éducatifs se heurtent sur les marchés de certains pays tiers." En outre, un document publié en début d'année par le Cato Institute, laboratoire d'idées conservateur, exhorte les États-Unis et d'autres pays à poursuivre la libéralisation des échanges dans le secteur de l'éducation, en particulier dans l'enseignement </w:t>
      </w:r>
      <w:r w:rsidRPr="00BC6E89">
        <w:rPr>
          <w:rFonts w:ascii="Verdana" w:hAnsi="Verdana"/>
          <w:i/>
          <w:color w:val="000000" w:themeColor="text1"/>
          <w:sz w:val="22"/>
          <w:szCs w:val="22"/>
        </w:rPr>
        <w:lastRenderedPageBreak/>
        <w:t>supérieur, afin de « réduire le rôle du gouvernement et renforcer la présence des entreprises à but lucratif. »</w:t>
      </w:r>
      <w:r w:rsidRPr="00BC6E89">
        <w:rPr>
          <w:rStyle w:val="Appelnotedebasdep"/>
          <w:rFonts w:ascii="Verdana" w:hAnsi="Verdana"/>
          <w:i/>
          <w:color w:val="000000" w:themeColor="text1"/>
          <w:sz w:val="22"/>
          <w:szCs w:val="22"/>
        </w:rPr>
        <w:footnoteReference w:id="34"/>
      </w:r>
    </w:p>
    <w:p w14:paraId="5F37C387" w14:textId="77777777" w:rsidR="0077554B" w:rsidRPr="00BC6E89" w:rsidRDefault="0077554B" w:rsidP="0077554B">
      <w:pPr>
        <w:rPr>
          <w:rFonts w:ascii="Verdana" w:hAnsi="Verdana"/>
          <w:color w:val="000000" w:themeColor="text1"/>
          <w:sz w:val="22"/>
          <w:szCs w:val="22"/>
          <w:lang w:val="fr-FR"/>
        </w:rPr>
      </w:pPr>
    </w:p>
    <w:p w14:paraId="795509A0" w14:textId="77777777" w:rsidR="0077554B" w:rsidRPr="00BC6E89" w:rsidRDefault="0077554B" w:rsidP="0077554B">
      <w:pPr>
        <w:rPr>
          <w:rFonts w:ascii="Verdana" w:hAnsi="Verdana"/>
          <w:color w:val="000000" w:themeColor="text1"/>
          <w:sz w:val="22"/>
          <w:szCs w:val="22"/>
        </w:rPr>
      </w:pPr>
      <w:r w:rsidRPr="00BC6E89">
        <w:rPr>
          <w:rFonts w:ascii="Verdana" w:hAnsi="Verdana"/>
          <w:color w:val="000000" w:themeColor="text1"/>
          <w:sz w:val="22"/>
          <w:szCs w:val="22"/>
          <w:lang w:val="fr-FR"/>
        </w:rPr>
        <w:t>L’éducation est bien reprise dans la liste d’exceptions européenne dans le CETA, mais avec une formulation ambiguë, particulièrement préoccupante dans le cas de la Belgique : est préservé le secteur des services d’éducation qui reçoivent un appui de l’Etat et ne sont considérés comme financés par des fonds privés</w:t>
      </w:r>
      <w:r w:rsidRPr="00BC6E89">
        <w:rPr>
          <w:rStyle w:val="Appelnotedebasdep"/>
          <w:rFonts w:ascii="Verdana" w:hAnsi="Verdana"/>
          <w:color w:val="000000" w:themeColor="text1"/>
          <w:sz w:val="22"/>
          <w:szCs w:val="22"/>
          <w:lang w:val="fr-FR"/>
        </w:rPr>
        <w:footnoteReference w:id="35"/>
      </w:r>
      <w:r w:rsidRPr="00BC6E89">
        <w:rPr>
          <w:rFonts w:ascii="Verdana" w:hAnsi="Verdana"/>
          <w:color w:val="000000" w:themeColor="text1"/>
          <w:sz w:val="22"/>
          <w:szCs w:val="22"/>
          <w:lang w:val="fr-FR"/>
        </w:rPr>
        <w:t xml:space="preserve">. Mais, selon </w:t>
      </w:r>
      <w:r w:rsidRPr="00BC6E89">
        <w:rPr>
          <w:rFonts w:ascii="Verdana" w:hAnsi="Verdana"/>
          <w:color w:val="000000" w:themeColor="text1"/>
          <w:sz w:val="22"/>
          <w:szCs w:val="22"/>
        </w:rPr>
        <w:t>Louise Høj Larsen (CSEE),</w:t>
      </w:r>
      <w:r w:rsidRPr="00BC6E89">
        <w:rPr>
          <w:rFonts w:ascii="Verdana" w:hAnsi="Verdana"/>
          <w:color w:val="000000" w:themeColor="text1"/>
          <w:sz w:val="22"/>
          <w:szCs w:val="22"/>
          <w:lang w:val="fr-FR"/>
        </w:rPr>
        <w:t xml:space="preserve"> </w:t>
      </w:r>
      <w:r w:rsidRPr="00BC6E89">
        <w:rPr>
          <w:rFonts w:ascii="Verdana" w:hAnsi="Verdana"/>
          <w:i/>
          <w:color w:val="000000" w:themeColor="text1"/>
          <w:sz w:val="22"/>
          <w:szCs w:val="22"/>
        </w:rPr>
        <w:t>il est parfois difficile de faire la distinction entre éducation publique et éducation privée, ce qui pourrait représenter un piège potentiel</w:t>
      </w:r>
      <w:r w:rsidRPr="00BC6E89">
        <w:rPr>
          <w:rStyle w:val="Appelnotedebasdep"/>
          <w:rFonts w:ascii="Verdana" w:hAnsi="Verdana"/>
          <w:i/>
          <w:color w:val="000000" w:themeColor="text1"/>
          <w:sz w:val="22"/>
          <w:szCs w:val="22"/>
        </w:rPr>
        <w:footnoteReference w:id="36"/>
      </w:r>
      <w:r w:rsidRPr="00BC6E89">
        <w:rPr>
          <w:rFonts w:ascii="Verdana" w:hAnsi="Verdana"/>
          <w:color w:val="000000" w:themeColor="text1"/>
          <w:sz w:val="22"/>
          <w:szCs w:val="22"/>
        </w:rPr>
        <w:t>.</w:t>
      </w:r>
    </w:p>
    <w:p w14:paraId="4E5F3B6E" w14:textId="77777777" w:rsidR="0077554B" w:rsidRPr="00BC6E89" w:rsidRDefault="0077554B" w:rsidP="0077554B">
      <w:pPr>
        <w:rPr>
          <w:rFonts w:ascii="Verdana" w:hAnsi="Verdana"/>
          <w:i/>
          <w:color w:val="000000" w:themeColor="text1"/>
          <w:sz w:val="22"/>
          <w:szCs w:val="22"/>
          <w:lang w:val="nl-NL"/>
        </w:rPr>
      </w:pPr>
    </w:p>
    <w:p w14:paraId="3677D1FD" w14:textId="77777777" w:rsidR="0077554B" w:rsidRPr="00BC6E89" w:rsidRDefault="0077554B" w:rsidP="0077554B">
      <w:pPr>
        <w:rPr>
          <w:rFonts w:ascii="Verdana" w:hAnsi="Verdana"/>
          <w:color w:val="000000" w:themeColor="text1"/>
          <w:sz w:val="22"/>
          <w:szCs w:val="22"/>
        </w:rPr>
      </w:pPr>
      <w:r w:rsidRPr="00BC6E89">
        <w:rPr>
          <w:rFonts w:ascii="Verdana" w:hAnsi="Verdana"/>
          <w:color w:val="000000" w:themeColor="text1"/>
          <w:sz w:val="22"/>
          <w:szCs w:val="22"/>
          <w:lang w:val="fr-FR"/>
        </w:rPr>
        <w:t>Si le système éducatif d'un pays est en partie fourni sur une base commerciale ou gratuitement, ou si des écoles privées sont actives dans ce pays, l'éducation pourrait ne pas profiter de cette exclusion générale. Puisque l'approche de l'UE concernant l'éducation financée publiquement est inadéquat, étant donné que la plupart des systèmes d'éducation en UE et aux États-Unis sont en fait une combinaison d'acteurs sans but lucratif d'une part et d'acteurs commerciaux d'autre part, il n’est pas sûr que l’éducation soit efficacement protégée</w:t>
      </w:r>
      <w:r w:rsidRPr="00BC6E89">
        <w:rPr>
          <w:rFonts w:ascii="Verdana" w:hAnsi="Verdana"/>
          <w:bCs/>
          <w:color w:val="000000" w:themeColor="text1"/>
          <w:sz w:val="22"/>
          <w:szCs w:val="22"/>
          <w:lang w:val="fr-FR"/>
        </w:rPr>
        <w:t>.</w:t>
      </w:r>
    </w:p>
    <w:p w14:paraId="2DBFA762" w14:textId="77777777" w:rsidR="0077554B" w:rsidRPr="00BC6E89" w:rsidRDefault="0077554B" w:rsidP="0077554B">
      <w:pPr>
        <w:rPr>
          <w:rFonts w:ascii="Verdana" w:hAnsi="Verdana"/>
          <w:color w:val="000000" w:themeColor="text1"/>
          <w:sz w:val="22"/>
          <w:szCs w:val="22"/>
        </w:rPr>
      </w:pPr>
      <w:r w:rsidRPr="00BC6E89">
        <w:rPr>
          <w:rFonts w:ascii="Verdana" w:hAnsi="Verdana"/>
          <w:bCs/>
          <w:color w:val="000000" w:themeColor="text1"/>
          <w:sz w:val="22"/>
          <w:szCs w:val="22"/>
          <w:lang w:val="fr-FR"/>
        </w:rPr>
        <w:t>Il convient d'exclure de manière plus efficace et élargie l'éducation et les autres services publics pour protéger la capacité des gouvernements à proposer des services via le système mixte qu'ils estiment adéquat en vue d'atteindre les objectifs de politique nationale.</w:t>
      </w:r>
    </w:p>
    <w:p w14:paraId="2C853797" w14:textId="77777777" w:rsidR="0077554B" w:rsidRPr="00BC6E89" w:rsidRDefault="0077554B" w:rsidP="0077554B">
      <w:pPr>
        <w:rPr>
          <w:rFonts w:ascii="Verdana" w:hAnsi="Verdana"/>
          <w:i/>
          <w:color w:val="000000" w:themeColor="text1"/>
          <w:sz w:val="22"/>
          <w:szCs w:val="22"/>
        </w:rPr>
      </w:pPr>
    </w:p>
    <w:p w14:paraId="0DB25F4B" w14:textId="77777777" w:rsidR="0077554B" w:rsidRPr="00BC6E89" w:rsidRDefault="0077554B" w:rsidP="0077554B">
      <w:pPr>
        <w:rPr>
          <w:rFonts w:ascii="Verdana" w:hAnsi="Verdana"/>
          <w:i/>
          <w:color w:val="000000" w:themeColor="text1"/>
          <w:sz w:val="22"/>
          <w:szCs w:val="22"/>
        </w:rPr>
      </w:pPr>
      <w:r w:rsidRPr="00BC6E89">
        <w:rPr>
          <w:rFonts w:ascii="Verdana" w:hAnsi="Verdana"/>
          <w:color w:val="000000" w:themeColor="text1"/>
          <w:sz w:val="22"/>
          <w:szCs w:val="22"/>
        </w:rPr>
        <w:lastRenderedPageBreak/>
        <w:t xml:space="preserve">La CSEE précise enfin que </w:t>
      </w:r>
      <w:r w:rsidRPr="00BC6E89">
        <w:rPr>
          <w:rFonts w:ascii="Verdana" w:hAnsi="Verdana"/>
          <w:i/>
          <w:color w:val="000000" w:themeColor="text1"/>
          <w:sz w:val="22"/>
          <w:szCs w:val="22"/>
        </w:rPr>
        <w:t>Les règles qui entourent l'accès au marché pourraient restreindre la capacité des États-Unis et des États membres de l'UE à limiter l'entrée et à réguler les activités des écoles et institutions privées à but lucratif. Toute tentative dans ce sens, par l'imposition de nouvelles accréditations et d'exigences d'assurance qualité, pourrait être interprétée comme une barrière déguisée au commerce. Même l'absence d'un plan d'accréditation pour les prestataires étrangers de l'éducation pourrait être perçue comme une violation des engagements commerciaux. Ce sujet fait en fait actuellement l'objet d'un litige interne à l'UE : la Commission européenne a entamé une procédure d'infraction contre la Slovénie pour que la législation dans le domaine de l'éducation soit alignée sur la Directive sur les services.</w:t>
      </w:r>
      <w:r w:rsidRPr="00BC6E89">
        <w:rPr>
          <w:rStyle w:val="Appelnotedebasdep"/>
          <w:rFonts w:ascii="Verdana" w:hAnsi="Verdana"/>
          <w:i/>
          <w:color w:val="000000" w:themeColor="text1"/>
          <w:sz w:val="22"/>
          <w:szCs w:val="22"/>
        </w:rPr>
        <w:footnoteReference w:id="37"/>
      </w:r>
    </w:p>
    <w:p w14:paraId="0EFE8602" w14:textId="77777777" w:rsidR="0077554B" w:rsidRPr="00BC6E89" w:rsidRDefault="0077554B" w:rsidP="0077554B">
      <w:pPr>
        <w:rPr>
          <w:rFonts w:ascii="Verdana" w:hAnsi="Verdana"/>
          <w:i/>
          <w:color w:val="000000" w:themeColor="text1"/>
          <w:sz w:val="22"/>
          <w:szCs w:val="22"/>
        </w:rPr>
      </w:pPr>
    </w:p>
    <w:p w14:paraId="5567B253" w14:textId="77777777" w:rsidR="0077554B" w:rsidRPr="00BC6E89" w:rsidRDefault="0077554B" w:rsidP="0077554B">
      <w:pPr>
        <w:rPr>
          <w:rFonts w:ascii="Verdana" w:hAnsi="Verdana"/>
          <w:color w:val="000000" w:themeColor="text1"/>
          <w:sz w:val="22"/>
          <w:szCs w:val="22"/>
        </w:rPr>
      </w:pPr>
      <w:r w:rsidRPr="00BC6E89">
        <w:rPr>
          <w:rFonts w:ascii="Verdana" w:hAnsi="Verdana"/>
          <w:color w:val="000000" w:themeColor="text1"/>
          <w:sz w:val="22"/>
          <w:szCs w:val="22"/>
        </w:rPr>
        <w:t>Aux Etats-Unis, le phénomène du surendettement pour avoir accès aux études supérieures explose : plus de 40 millions d’américains accumulent 1,2 trillions de dollars de dettes.</w:t>
      </w:r>
      <w:r w:rsidRPr="00BC6E89">
        <w:rPr>
          <w:rStyle w:val="Appelnotedebasdep"/>
          <w:rFonts w:ascii="Verdana" w:hAnsi="Verdana"/>
          <w:color w:val="000000" w:themeColor="text1"/>
          <w:sz w:val="22"/>
          <w:szCs w:val="22"/>
        </w:rPr>
        <w:footnoteReference w:id="38"/>
      </w:r>
      <w:r w:rsidRPr="00BC6E89">
        <w:rPr>
          <w:rFonts w:ascii="Verdana" w:hAnsi="Verdana"/>
          <w:color w:val="000000" w:themeColor="text1"/>
          <w:sz w:val="22"/>
          <w:szCs w:val="22"/>
        </w:rPr>
        <w:t xml:space="preserve"> En moyenne les étudiants sortent des études avec 33 000 $ de dette. Des institutions d’enseignement supérieur orientées profit y défendent férocement leur marché. 1400 d’entre elles ont intenté un procès contre le gouvernement américain en 2014 concernant une règlementation en préparation visant à limiter les minervaux excessifs et le phénomène de surendettement. Il n’y a pas à douter que certaines de ces institutions exploiteront toutes les failles offertes par les exceptions ambigües inscrites dans le CETA, dont elles profiteront aisément dès lors qu’elles ont une filiale au Canada. Si elles peuvent faire valoir leurs droits, au nom de la « non-discrimination » pour obtenir une reconnaissance en Fédération Wallonie-Bruxelles, la voie leur est ouverte pour reproduire le schéma américain, attirer les meilleurs professeurs avec de hauts salaires et créer un enseignement supérieur à deux vitesses où seuls les collèges privés aux prix exorbitants seront considérés comme fournissant de bons diplômes.</w:t>
      </w:r>
    </w:p>
    <w:p w14:paraId="2F99E14B" w14:textId="77777777" w:rsidR="0077554B" w:rsidRPr="00BC6E89" w:rsidRDefault="0077554B" w:rsidP="00421E0A">
      <w:pPr>
        <w:widowControl w:val="0"/>
        <w:autoSpaceDE w:val="0"/>
        <w:autoSpaceDN w:val="0"/>
        <w:adjustRightInd w:val="0"/>
        <w:rPr>
          <w:rFonts w:ascii="Verdana" w:hAnsi="Verdana" w:cs="Tahoma"/>
          <w:color w:val="262626"/>
          <w:sz w:val="22"/>
          <w:szCs w:val="22"/>
          <w:lang w:val="fr-FR"/>
        </w:rPr>
      </w:pPr>
    </w:p>
    <w:p w14:paraId="399F9A9E" w14:textId="77777777" w:rsidR="0077554B" w:rsidRPr="00BC6E89" w:rsidRDefault="0077554B" w:rsidP="001A04C5">
      <w:pPr>
        <w:pStyle w:val="Titre4"/>
        <w:numPr>
          <w:ilvl w:val="2"/>
          <w:numId w:val="3"/>
        </w:numPr>
      </w:pPr>
      <w:r w:rsidRPr="00BC6E89">
        <w:t>La SNCB</w:t>
      </w:r>
    </w:p>
    <w:p w14:paraId="3AFB74E4" w14:textId="77777777" w:rsidR="0077554B" w:rsidRPr="00BC6E89" w:rsidRDefault="0077554B" w:rsidP="0077554B">
      <w:pPr>
        <w:rPr>
          <w:rFonts w:ascii="Verdana" w:hAnsi="Verdana"/>
          <w:sz w:val="22"/>
          <w:szCs w:val="22"/>
        </w:rPr>
      </w:pPr>
      <w:r w:rsidRPr="00BC6E89">
        <w:rPr>
          <w:rFonts w:ascii="Verdana" w:hAnsi="Verdana"/>
          <w:sz w:val="22"/>
          <w:szCs w:val="22"/>
        </w:rPr>
        <w:t xml:space="preserve">Les services de </w:t>
      </w:r>
      <w:r w:rsidRPr="00BC6E89">
        <w:rPr>
          <w:rFonts w:ascii="Verdana" w:hAnsi="Verdana"/>
          <w:b/>
          <w:sz w:val="22"/>
          <w:szCs w:val="22"/>
        </w:rPr>
        <w:t>transport par rail</w:t>
      </w:r>
      <w:r w:rsidRPr="00BC6E89">
        <w:rPr>
          <w:rFonts w:ascii="Verdana" w:hAnsi="Verdana"/>
          <w:sz w:val="22"/>
          <w:szCs w:val="22"/>
        </w:rPr>
        <w:t xml:space="preserve"> font l’objet d’une exemption européenne dans l’annexe 1, ce qui signifie qu’on gèle l’état actuel de libéralisation du transport ferroviaire européen (ce qu’on appelle le « statu quo »)</w:t>
      </w:r>
      <w:r w:rsidRPr="00BC6E89">
        <w:rPr>
          <w:rStyle w:val="Appelnotedebasdep"/>
          <w:rFonts w:ascii="Verdana" w:hAnsi="Verdana"/>
          <w:sz w:val="22"/>
          <w:szCs w:val="22"/>
        </w:rPr>
        <w:footnoteReference w:id="39"/>
      </w:r>
      <w:r w:rsidRPr="00BC6E89">
        <w:rPr>
          <w:rFonts w:ascii="Verdana" w:hAnsi="Verdana"/>
          <w:sz w:val="22"/>
          <w:szCs w:val="22"/>
        </w:rPr>
        <w:t xml:space="preserve">. Des modifications futures sont autorisées mais seulement dans le sens de plus de libéralisation (du fait de la clause de cliquet). Les directives européennes qui prévoient que la fourniture de services de transport ferroviaires nécessitent l’octroi d’une licence, réservée aux entreprises établies dans un Etat-Membre européen, sont ainsi gravées dans le marbre d’un traité international quasi irréversible. Dans un premier temps, donc, le CETA n’oblige pas la Belgique à accepter une entreprise ferroviaire canadienne sur son sol, mais si une entreprise canadienne reçoit une licence pour prester un service ferroviaire en Belgique, elle devra avoir accès aux mêmes conditions qu’une entreprise belge. Dans un second temps, si demain la Belgique ou l’Europe décidait </w:t>
      </w:r>
      <w:r w:rsidRPr="00BC6E89">
        <w:rPr>
          <w:rFonts w:ascii="Verdana" w:hAnsi="Verdana"/>
          <w:sz w:val="22"/>
          <w:szCs w:val="22"/>
        </w:rPr>
        <w:lastRenderedPageBreak/>
        <w:t xml:space="preserve">d’ouvrir le secteur du transport ferroviaire à la concurrence avec les entreprises privées y compris étrangères, sans aucune condition à remplir, le CETA rendrait cette décision irréversible ad vitam. En effet, la clause de cliquet implique qu’on ne pourra pas règlementer davantage (par exemple en réservant cette activité aux pouvoirs publics ou à des entreprises publiques). </w:t>
      </w:r>
    </w:p>
    <w:p w14:paraId="5BC03255" w14:textId="77777777" w:rsidR="0077554B" w:rsidRPr="00BC6E89" w:rsidRDefault="0077554B" w:rsidP="0077554B">
      <w:pPr>
        <w:rPr>
          <w:rFonts w:ascii="Verdana" w:hAnsi="Verdana"/>
          <w:sz w:val="22"/>
          <w:szCs w:val="22"/>
        </w:rPr>
      </w:pPr>
    </w:p>
    <w:p w14:paraId="7757C91B" w14:textId="77777777" w:rsidR="0077554B" w:rsidRPr="00BC6E89" w:rsidRDefault="0077554B" w:rsidP="0077554B">
      <w:pPr>
        <w:rPr>
          <w:rFonts w:ascii="Verdana" w:hAnsi="Verdana"/>
          <w:sz w:val="22"/>
          <w:szCs w:val="22"/>
        </w:rPr>
      </w:pPr>
      <w:r w:rsidRPr="00BC6E89">
        <w:rPr>
          <w:rFonts w:ascii="Verdana" w:hAnsi="Verdana"/>
          <w:sz w:val="22"/>
          <w:szCs w:val="22"/>
        </w:rPr>
        <w:t>La libéralisation totale du transport de personnes prévue pour 2017 par les textes européens, dénoncée notamment avec force par les cheminots belges pour la course à la compétitivité et les suppressions d’emploi qu’elle engendre</w:t>
      </w:r>
      <w:r w:rsidRPr="00BC6E89">
        <w:rPr>
          <w:rStyle w:val="Appelnotedebasdep"/>
          <w:rFonts w:ascii="Verdana" w:hAnsi="Verdana"/>
          <w:sz w:val="22"/>
          <w:szCs w:val="22"/>
        </w:rPr>
        <w:footnoteReference w:id="40"/>
      </w:r>
      <w:r w:rsidRPr="00BC6E89">
        <w:rPr>
          <w:rFonts w:ascii="Verdana" w:hAnsi="Verdana"/>
          <w:sz w:val="22"/>
          <w:szCs w:val="22"/>
        </w:rPr>
        <w:t xml:space="preserve">, est donc rendu défensivement irréversible par le CETA. </w:t>
      </w:r>
    </w:p>
    <w:p w14:paraId="7DCB1607" w14:textId="77777777" w:rsidR="0077554B" w:rsidRPr="00BC6E89" w:rsidRDefault="0077554B" w:rsidP="0077554B">
      <w:pPr>
        <w:rPr>
          <w:rFonts w:ascii="Verdana" w:hAnsi="Verdana"/>
          <w:sz w:val="22"/>
          <w:szCs w:val="22"/>
        </w:rPr>
      </w:pPr>
    </w:p>
    <w:p w14:paraId="7319093E" w14:textId="77777777" w:rsidR="0077554B" w:rsidRPr="00BC6E89" w:rsidRDefault="0077554B" w:rsidP="0077554B">
      <w:pPr>
        <w:rPr>
          <w:rFonts w:ascii="Verdana" w:hAnsi="Verdana"/>
          <w:color w:val="000000" w:themeColor="text1"/>
          <w:sz w:val="22"/>
          <w:szCs w:val="22"/>
        </w:rPr>
      </w:pPr>
      <w:r w:rsidRPr="00BC6E89">
        <w:rPr>
          <w:rFonts w:ascii="Verdana" w:hAnsi="Verdana"/>
          <w:color w:val="000000" w:themeColor="text1"/>
          <w:sz w:val="22"/>
          <w:szCs w:val="22"/>
        </w:rPr>
        <w:t>Cela pourrait se matérialiser très vite, puisque selon la CSC Transcom, le CETA entrerait donc en contradiction directe avec le tout récent accord adopté en avril 2016 par le trilogue Commission-Conseil-Parlement sur le sujet de l’attribution directe à un ou plusieurs opérateurs du marché de transport de voyageurs par rail au niveau national, qui reporte la date de l’ouverture du marché de transport ferroviaire de personnes à 2020 au lieu de 2017 et permet une attribution directe à un seul opérateur, qui peut être l’opérateur historique, public, à la condition que celui-ci réponde à différents critères que l’Autorité (le gouvernement, le pouvoir public…) aura lui-même déterminés. En effet ce nouvel accord d’avril 2016 constitue une forme de « dé-libéralisation » puisqu’elle repousse l’ouverture du marché de 3 ans et permet un contrôle du nombre de fournisseurs d’un service, ce qui est directement contraire à la clause d’accès au marché. L’effet de cliquet s’applique donc et cet nouvel accord semble bel et bien en contradiction directe avec les obligations du CETA.</w:t>
      </w:r>
      <w:r w:rsidRPr="00BC6E89">
        <w:rPr>
          <w:rStyle w:val="Appelnotedebasdep"/>
          <w:rFonts w:ascii="Verdana" w:hAnsi="Verdana"/>
          <w:color w:val="000000" w:themeColor="text1"/>
          <w:sz w:val="22"/>
          <w:szCs w:val="22"/>
        </w:rPr>
        <w:footnoteReference w:id="41"/>
      </w:r>
      <w:r w:rsidRPr="00BC6E89">
        <w:rPr>
          <w:rFonts w:ascii="Verdana" w:hAnsi="Verdana"/>
          <w:color w:val="000000" w:themeColor="text1"/>
          <w:sz w:val="22"/>
          <w:szCs w:val="22"/>
        </w:rPr>
        <w:t xml:space="preserve"> </w:t>
      </w:r>
    </w:p>
    <w:p w14:paraId="228495B9" w14:textId="77777777" w:rsidR="0077554B" w:rsidRPr="00BC6E89" w:rsidRDefault="0077554B" w:rsidP="0077554B">
      <w:pPr>
        <w:rPr>
          <w:rFonts w:ascii="Verdana" w:hAnsi="Verdana"/>
          <w:color w:val="FF0000"/>
          <w:sz w:val="22"/>
          <w:szCs w:val="22"/>
        </w:rPr>
      </w:pPr>
    </w:p>
    <w:p w14:paraId="537099F8" w14:textId="77777777" w:rsidR="0077554B" w:rsidRPr="00BC6E89" w:rsidRDefault="0077554B" w:rsidP="0077554B">
      <w:pPr>
        <w:rPr>
          <w:rFonts w:ascii="Verdana" w:hAnsi="Verdana"/>
          <w:sz w:val="22"/>
          <w:szCs w:val="22"/>
        </w:rPr>
      </w:pPr>
      <w:r w:rsidRPr="00BC6E89">
        <w:rPr>
          <w:rFonts w:ascii="Verdana" w:hAnsi="Verdana"/>
          <w:sz w:val="22"/>
          <w:szCs w:val="22"/>
        </w:rPr>
        <w:t>La Lituanie a ajouté dans l’annexe 1 une réserve protégeant sa loi qui prévoit que les entreprises de transport par rail doivent être à 100% détenues par l’Etat</w:t>
      </w:r>
      <w:r w:rsidRPr="00BC6E89">
        <w:rPr>
          <w:rStyle w:val="Appelnotedebasdep"/>
          <w:rFonts w:ascii="Verdana" w:hAnsi="Verdana"/>
          <w:sz w:val="22"/>
          <w:szCs w:val="22"/>
        </w:rPr>
        <w:footnoteReference w:id="42"/>
      </w:r>
      <w:r w:rsidRPr="00BC6E89">
        <w:rPr>
          <w:rFonts w:ascii="Verdana" w:hAnsi="Verdana"/>
          <w:sz w:val="22"/>
          <w:szCs w:val="22"/>
        </w:rPr>
        <w:t>. Cela tend à confirmer que seule la Lituanie, et pas les autres Etats membres, peut décider de rétablir les services de transport par rail comme service publique monopolistique. Sauf si le secteur est protégé dans l’annexe 2…</w:t>
      </w:r>
    </w:p>
    <w:p w14:paraId="21CFAF0A" w14:textId="77777777" w:rsidR="0077554B" w:rsidRPr="00BC6E89" w:rsidRDefault="0077554B" w:rsidP="0077554B">
      <w:pPr>
        <w:rPr>
          <w:rFonts w:ascii="Verdana" w:hAnsi="Verdana"/>
          <w:sz w:val="22"/>
          <w:szCs w:val="22"/>
        </w:rPr>
      </w:pPr>
    </w:p>
    <w:p w14:paraId="377AD459" w14:textId="77777777" w:rsidR="0077554B" w:rsidRPr="00BC6E89" w:rsidRDefault="0077554B" w:rsidP="0077554B">
      <w:pPr>
        <w:rPr>
          <w:rFonts w:ascii="Verdana" w:hAnsi="Verdana"/>
          <w:sz w:val="22"/>
          <w:szCs w:val="22"/>
        </w:rPr>
      </w:pPr>
      <w:r w:rsidRPr="00BC6E89">
        <w:rPr>
          <w:rFonts w:ascii="Verdana" w:hAnsi="Verdana"/>
          <w:sz w:val="22"/>
          <w:szCs w:val="22"/>
        </w:rPr>
        <w:t xml:space="preserve">Dans l’annexe 2, pas d’exemption européenne (UE) concernant le rail. Mais quelques Etats membres introduisent des exemptions (Bulgarie, République </w:t>
      </w:r>
      <w:r w:rsidRPr="00BC6E89">
        <w:rPr>
          <w:rFonts w:ascii="Verdana" w:hAnsi="Verdana"/>
          <w:sz w:val="22"/>
          <w:szCs w:val="22"/>
        </w:rPr>
        <w:lastRenderedPageBreak/>
        <w:t>tchèque, Finlande et Slovaquie). La Finlande se réserve le droit d’adopter toute mesure future concernant le transport de passagers et de marchandises par rail.</w:t>
      </w:r>
      <w:r w:rsidRPr="00BC6E89">
        <w:rPr>
          <w:rStyle w:val="Appelnotedebasdep"/>
          <w:rFonts w:ascii="Verdana" w:hAnsi="Verdana"/>
          <w:sz w:val="22"/>
          <w:szCs w:val="22"/>
        </w:rPr>
        <w:footnoteReference w:id="43"/>
      </w:r>
      <w:r w:rsidRPr="00BC6E89">
        <w:rPr>
          <w:rFonts w:ascii="Verdana" w:hAnsi="Verdana"/>
          <w:sz w:val="22"/>
          <w:szCs w:val="22"/>
        </w:rPr>
        <w:t xml:space="preserve"> </w:t>
      </w:r>
    </w:p>
    <w:p w14:paraId="7E311945" w14:textId="77777777" w:rsidR="0077554B" w:rsidRPr="00BC6E89" w:rsidRDefault="0077554B" w:rsidP="0077554B">
      <w:pPr>
        <w:rPr>
          <w:rFonts w:ascii="Verdana" w:hAnsi="Verdana"/>
          <w:sz w:val="22"/>
          <w:szCs w:val="22"/>
        </w:rPr>
      </w:pPr>
    </w:p>
    <w:p w14:paraId="3CA35C16" w14:textId="77777777" w:rsidR="0077554B" w:rsidRPr="00BC6E89" w:rsidRDefault="0077554B" w:rsidP="0077554B">
      <w:pPr>
        <w:rPr>
          <w:rFonts w:ascii="Verdana" w:hAnsi="Verdana"/>
          <w:sz w:val="22"/>
          <w:szCs w:val="22"/>
        </w:rPr>
      </w:pPr>
      <w:r w:rsidRPr="00BC6E89">
        <w:rPr>
          <w:rFonts w:ascii="Verdana" w:hAnsi="Verdana"/>
          <w:sz w:val="22"/>
          <w:szCs w:val="22"/>
        </w:rPr>
        <w:t xml:space="preserve">On peut en conclure que le CETA rendra impossible pour tout pays autre que la Finlande de réserver le marché du transport par rail aux pouvoirs publics. </w:t>
      </w:r>
    </w:p>
    <w:p w14:paraId="30A9409B" w14:textId="77777777" w:rsidR="0077554B" w:rsidRPr="00BC6E89" w:rsidRDefault="0077554B" w:rsidP="00421E0A">
      <w:pPr>
        <w:widowControl w:val="0"/>
        <w:autoSpaceDE w:val="0"/>
        <w:autoSpaceDN w:val="0"/>
        <w:adjustRightInd w:val="0"/>
        <w:rPr>
          <w:rFonts w:ascii="Verdana" w:hAnsi="Verdana" w:cs="Tahoma"/>
          <w:color w:val="262626"/>
          <w:sz w:val="22"/>
          <w:szCs w:val="22"/>
          <w:lang w:val="fr-FR"/>
        </w:rPr>
      </w:pPr>
    </w:p>
    <w:p w14:paraId="6820490E" w14:textId="77777777" w:rsidR="0077554B" w:rsidRPr="00BC6E89" w:rsidRDefault="0077554B" w:rsidP="00421E0A">
      <w:pPr>
        <w:widowControl w:val="0"/>
        <w:autoSpaceDE w:val="0"/>
        <w:autoSpaceDN w:val="0"/>
        <w:adjustRightInd w:val="0"/>
        <w:rPr>
          <w:rFonts w:ascii="Verdana" w:hAnsi="Verdana" w:cs="Tahoma"/>
          <w:color w:val="262626"/>
          <w:sz w:val="22"/>
          <w:szCs w:val="22"/>
          <w:lang w:val="fr-FR"/>
        </w:rPr>
      </w:pPr>
    </w:p>
    <w:p w14:paraId="22399AB0" w14:textId="2DF9C048" w:rsidR="00421E0A" w:rsidRPr="00BC6E89" w:rsidRDefault="00421E0A" w:rsidP="001A04C5">
      <w:pPr>
        <w:pStyle w:val="Titre1"/>
        <w:numPr>
          <w:ilvl w:val="0"/>
          <w:numId w:val="3"/>
        </w:numPr>
        <w:rPr>
          <w:lang w:val="fr-FR"/>
        </w:rPr>
      </w:pPr>
      <w:bookmarkStart w:id="16" w:name="_Toc463603274"/>
      <w:r w:rsidRPr="00BC6E89">
        <w:rPr>
          <w:lang w:val="fr-FR"/>
        </w:rPr>
        <w:t>Le système d’arbitrage serait réformé et donc satisfaisant</w:t>
      </w:r>
      <w:r w:rsidR="00484705" w:rsidRPr="00BC6E89">
        <w:rPr>
          <w:lang w:val="fr-FR"/>
        </w:rPr>
        <w:t xml:space="preserve"> … Rien de neuf depuis février donc</w:t>
      </w:r>
      <w:bookmarkEnd w:id="16"/>
    </w:p>
    <w:p w14:paraId="16F0245D" w14:textId="77777777" w:rsidR="00421E0A" w:rsidRPr="00BC6E89" w:rsidRDefault="00421E0A" w:rsidP="00421E0A">
      <w:pPr>
        <w:widowControl w:val="0"/>
        <w:autoSpaceDE w:val="0"/>
        <w:autoSpaceDN w:val="0"/>
        <w:adjustRightInd w:val="0"/>
        <w:rPr>
          <w:rFonts w:ascii="Verdana" w:hAnsi="Verdana" w:cs="Tahoma"/>
          <w:color w:val="262626"/>
          <w:sz w:val="22"/>
          <w:szCs w:val="22"/>
          <w:lang w:val="fr-FR"/>
        </w:rPr>
      </w:pPr>
    </w:p>
    <w:p w14:paraId="4A6EC871" w14:textId="1247C7C3" w:rsidR="0077554B" w:rsidRPr="00BC6E89" w:rsidRDefault="0077554B" w:rsidP="00421E0A">
      <w:pPr>
        <w:spacing w:after="60"/>
        <w:rPr>
          <w:rFonts w:ascii="Verdana" w:hAnsi="Verdana" w:cs="Arial"/>
          <w:bCs/>
          <w:sz w:val="22"/>
          <w:szCs w:val="22"/>
          <w:lang w:val="fr-FR"/>
        </w:rPr>
      </w:pPr>
      <w:r w:rsidRPr="00BC6E89">
        <w:rPr>
          <w:rFonts w:ascii="Verdana" w:hAnsi="Verdana" w:cs="Arial"/>
          <w:bCs/>
          <w:sz w:val="22"/>
          <w:szCs w:val="22"/>
          <w:lang w:val="fr-FR"/>
        </w:rPr>
        <w:t xml:space="preserve">La déclaration ne fait que résumer ce qui se trouve déjà dans le texte du CETA sous le nom de clause « ICS ». </w:t>
      </w:r>
    </w:p>
    <w:p w14:paraId="15AFAFC5" w14:textId="77777777" w:rsidR="00421E0A" w:rsidRPr="00BC6E89" w:rsidRDefault="00421E0A" w:rsidP="00421E0A">
      <w:pPr>
        <w:spacing w:after="60"/>
        <w:rPr>
          <w:rFonts w:ascii="Verdana" w:hAnsi="Verdana" w:cs="Arial"/>
          <w:bCs/>
          <w:sz w:val="22"/>
          <w:szCs w:val="22"/>
          <w:lang w:val="fr-FR"/>
        </w:rPr>
      </w:pPr>
      <w:r w:rsidRPr="00BC6E89">
        <w:rPr>
          <w:rFonts w:ascii="Verdana" w:hAnsi="Verdana" w:cs="Arial"/>
          <w:bCs/>
          <w:sz w:val="22"/>
          <w:szCs w:val="22"/>
          <w:lang w:val="fr-FR"/>
        </w:rPr>
        <w:t>La Commission annonce avoir obtenu l’inclusion 'des principaux éléments' de l’« ICS », une version légèrement modifiée de l’arbitrage « ISDS » tant décrié. L’association des magistrats européens</w:t>
      </w:r>
      <w:r w:rsidRPr="00BC6E89">
        <w:rPr>
          <w:rFonts w:ascii="Verdana" w:hAnsi="Verdana" w:cs="Arial"/>
          <w:bCs/>
          <w:sz w:val="22"/>
          <w:szCs w:val="22"/>
          <w:vertAlign w:val="superscript"/>
          <w:lang w:val="fr-FR"/>
        </w:rPr>
        <w:footnoteReference w:id="44"/>
      </w:r>
      <w:r w:rsidRPr="00BC6E89">
        <w:rPr>
          <w:rFonts w:ascii="Verdana" w:hAnsi="Verdana" w:cs="Arial"/>
          <w:bCs/>
          <w:sz w:val="22"/>
          <w:szCs w:val="22"/>
          <w:lang w:val="fr-FR"/>
        </w:rPr>
        <w:t xml:space="preserve"> ainsi que la plus grande association de juges allemands</w:t>
      </w:r>
      <w:r w:rsidRPr="00BC6E89">
        <w:rPr>
          <w:rFonts w:ascii="Verdana" w:hAnsi="Verdana" w:cs="Arial"/>
          <w:bCs/>
          <w:sz w:val="22"/>
          <w:szCs w:val="22"/>
          <w:vertAlign w:val="superscript"/>
          <w:lang w:val="fr-FR"/>
        </w:rPr>
        <w:footnoteReference w:id="45"/>
      </w:r>
      <w:r w:rsidRPr="00BC6E89">
        <w:rPr>
          <w:rFonts w:ascii="Verdana" w:hAnsi="Verdana" w:cs="Arial"/>
          <w:bCs/>
          <w:sz w:val="22"/>
          <w:szCs w:val="22"/>
          <w:lang w:val="fr-FR"/>
        </w:rPr>
        <w:t xml:space="preserve"> ont émis de sérieuses réserves</w:t>
      </w:r>
      <w:r w:rsidRPr="00BC6E89">
        <w:rPr>
          <w:rFonts w:ascii="Verdana" w:hAnsi="Verdana" w:cs="Arial"/>
          <w:bCs/>
          <w:sz w:val="22"/>
          <w:szCs w:val="22"/>
          <w:vertAlign w:val="superscript"/>
          <w:lang w:val="fr-FR"/>
        </w:rPr>
        <w:footnoteReference w:id="46"/>
      </w:r>
      <w:r w:rsidRPr="00BC6E89">
        <w:rPr>
          <w:rFonts w:ascii="Verdana" w:hAnsi="Verdana" w:cs="Arial"/>
          <w:bCs/>
          <w:sz w:val="22"/>
          <w:szCs w:val="22"/>
          <w:lang w:val="fr-FR"/>
        </w:rPr>
        <w:t xml:space="preserve"> quant à la compatibilité de l’ICS avec les standards européens et internationaux d’indépendance des juges et la base légale-même d’un tel système. </w:t>
      </w:r>
    </w:p>
    <w:p w14:paraId="0FF6E3F3" w14:textId="77777777" w:rsidR="00421E0A" w:rsidRPr="00BC6E89" w:rsidRDefault="00421E0A" w:rsidP="00421E0A">
      <w:pPr>
        <w:spacing w:after="60"/>
        <w:rPr>
          <w:rFonts w:ascii="Verdana" w:hAnsi="Verdana" w:cs="Arial"/>
          <w:sz w:val="22"/>
          <w:szCs w:val="22"/>
          <w:lang w:val="fr-FR"/>
        </w:rPr>
      </w:pPr>
      <w:r w:rsidRPr="00BC6E89">
        <w:rPr>
          <w:rFonts w:ascii="Verdana" w:hAnsi="Verdana" w:cs="Arial"/>
          <w:sz w:val="22"/>
          <w:szCs w:val="22"/>
          <w:lang w:val="fr-FR"/>
        </w:rPr>
        <w:t>Ce « nouveau » système est mis à l’épreuve dans une nouvelle étude. Les cas d’arbitrages sont analysés un par un : Philip Morris attaquant une politique de santé publique de prévention du tabagisme, d’autres entreprises transnationales contestant la politique climatique américaine, le moratoire québécois sur la fracturation hydraulique ou encore la protection des rivières face aux déversements de déchets, chacune de ces attaques contre l’intérêt général serait encore possible sous l’ICS et aurait de réelles chances d’aboutir</w:t>
      </w:r>
      <w:r w:rsidRPr="00BC6E89">
        <w:rPr>
          <w:rFonts w:ascii="Verdana" w:hAnsi="Verdana" w:cs="Arial"/>
          <w:sz w:val="22"/>
          <w:szCs w:val="22"/>
          <w:vertAlign w:val="superscript"/>
          <w:lang w:val="fr-FR"/>
        </w:rPr>
        <w:footnoteReference w:id="47"/>
      </w:r>
      <w:r w:rsidRPr="00BC6E89">
        <w:rPr>
          <w:rFonts w:ascii="Verdana" w:hAnsi="Verdana" w:cs="Arial"/>
          <w:sz w:val="22"/>
          <w:szCs w:val="22"/>
          <w:lang w:val="fr-FR"/>
        </w:rPr>
        <w:t xml:space="preserve">.    </w:t>
      </w:r>
    </w:p>
    <w:p w14:paraId="0D938A6B" w14:textId="77777777" w:rsidR="00421E0A" w:rsidRPr="00BC6E89" w:rsidRDefault="00421E0A" w:rsidP="00421E0A">
      <w:pPr>
        <w:spacing w:after="60"/>
        <w:rPr>
          <w:rFonts w:ascii="Verdana" w:hAnsi="Verdana" w:cs="Arial"/>
          <w:sz w:val="22"/>
          <w:szCs w:val="22"/>
          <w:lang w:val="fr-FR"/>
        </w:rPr>
      </w:pPr>
      <w:r w:rsidRPr="00BC6E89">
        <w:rPr>
          <w:rFonts w:ascii="Verdana" w:hAnsi="Verdana" w:cs="Arial"/>
          <w:sz w:val="22"/>
          <w:szCs w:val="22"/>
          <w:lang w:val="fr-FR"/>
        </w:rPr>
        <w:t>Le Professeur Gus Van Harten a démontré que l’ICS dans CETA ne répond pas aux critères de procédure : l’indépendance des arbitres n’est toujours pas garantie, le système reste à sens unique et biaisé notamment du fait que les arbitres ont un intérêt financier direct à ce que les investisseurs initient davantage d’arbitrages et l’équité du processus est encore plus faible que dans la proposition d’ICS produite par la commission européenne en novembre 2015</w:t>
      </w:r>
      <w:r w:rsidRPr="00BC6E89">
        <w:rPr>
          <w:rFonts w:ascii="Verdana" w:hAnsi="Verdana" w:cs="Arial"/>
          <w:sz w:val="22"/>
          <w:szCs w:val="22"/>
          <w:vertAlign w:val="superscript"/>
          <w:lang w:val="fr-FR"/>
        </w:rPr>
        <w:footnoteReference w:id="48"/>
      </w:r>
      <w:r w:rsidRPr="00BC6E89">
        <w:rPr>
          <w:rFonts w:ascii="Verdana" w:hAnsi="Verdana" w:cs="Arial"/>
          <w:sz w:val="22"/>
          <w:szCs w:val="22"/>
          <w:lang w:val="fr-FR"/>
        </w:rPr>
        <w:t xml:space="preserve">. Ni aux critères substantiels : </w:t>
      </w:r>
      <w:r w:rsidRPr="00BC6E89">
        <w:rPr>
          <w:rFonts w:ascii="Verdana" w:hAnsi="Verdana" w:cs="Arial"/>
          <w:sz w:val="22"/>
          <w:szCs w:val="22"/>
          <w:lang w:val="fr-FR"/>
        </w:rPr>
        <w:lastRenderedPageBreak/>
        <w:t>des droits supplémentaires pour les multinationales sans aucune obligation et une hypothèse de non fiabilité des cours et tribunaux domestiques sans obligation d’épuiser d’abord ces recours. Il conclut que le CETA manque l’occasion d’établir un système juste et équilibré de différends liés aux investissements et aura plutôt pour effet de décupler la portée d’un système d’arbitrage antidémocratique dépassé</w:t>
      </w:r>
      <w:r w:rsidRPr="00BC6E89">
        <w:rPr>
          <w:rFonts w:ascii="Verdana" w:hAnsi="Verdana" w:cs="Arial"/>
          <w:sz w:val="22"/>
          <w:szCs w:val="22"/>
          <w:vertAlign w:val="superscript"/>
          <w:lang w:val="fr-FR"/>
        </w:rPr>
        <w:footnoteReference w:id="49"/>
      </w:r>
      <w:r w:rsidRPr="00BC6E89">
        <w:rPr>
          <w:rFonts w:ascii="Verdana" w:hAnsi="Verdana" w:cs="Arial"/>
          <w:sz w:val="22"/>
          <w:szCs w:val="22"/>
          <w:lang w:val="fr-FR"/>
        </w:rPr>
        <w:t>.</w:t>
      </w:r>
    </w:p>
    <w:p w14:paraId="66C7500A" w14:textId="77777777" w:rsidR="0077554B" w:rsidRPr="00BC6E89" w:rsidRDefault="0077554B" w:rsidP="00421E0A">
      <w:pPr>
        <w:spacing w:after="60"/>
        <w:rPr>
          <w:rFonts w:ascii="Verdana" w:hAnsi="Verdana" w:cs="Arial"/>
          <w:sz w:val="22"/>
          <w:szCs w:val="22"/>
          <w:lang w:val="fr-FR"/>
        </w:rPr>
      </w:pPr>
    </w:p>
    <w:p w14:paraId="637E7469" w14:textId="77777777" w:rsidR="00094C95" w:rsidRPr="00BC6E89" w:rsidRDefault="0077554B" w:rsidP="00094C95">
      <w:pPr>
        <w:spacing w:after="120"/>
        <w:rPr>
          <w:rFonts w:ascii="Verdana" w:hAnsi="Verdana" w:cs="Arial"/>
          <w:sz w:val="22"/>
          <w:szCs w:val="22"/>
          <w:lang w:val="fr-FR"/>
        </w:rPr>
      </w:pPr>
      <w:r w:rsidRPr="00BC6E89">
        <w:rPr>
          <w:rFonts w:ascii="Verdana" w:hAnsi="Verdana" w:cs="Arial"/>
          <w:sz w:val="22"/>
          <w:szCs w:val="22"/>
          <w:lang w:val="fr-FR"/>
        </w:rPr>
        <w:t xml:space="preserve">La déclaration rappelle également qu’une simple société « boîte aux lettres » ne suffira pas pour qu’une entreprise étrangère accède au mécanisme ICS via le CETA. </w:t>
      </w:r>
      <w:r w:rsidR="00094C95" w:rsidRPr="00BC6E89">
        <w:rPr>
          <w:rFonts w:ascii="Verdana" w:hAnsi="Verdana" w:cs="Arial"/>
          <w:sz w:val="22"/>
          <w:szCs w:val="22"/>
          <w:lang w:val="fr-FR"/>
        </w:rPr>
        <w:t xml:space="preserve">C’est bien le minimum, mais ça ne répond pas à notre préoccupation fondamentale : le CETA est le premier traité européen avec clause d’arbitrage soumis à signature. C’est lui qui fera office de modèle pour tous les traités suivant et qui permettra déjà directement à de nombreuses société transnationales ayant une </w:t>
      </w:r>
      <w:r w:rsidR="00094C95" w:rsidRPr="00BC6E89">
        <w:rPr>
          <w:rFonts w:ascii="Verdana" w:hAnsi="Verdana" w:cs="Arial"/>
          <w:i/>
          <w:sz w:val="22"/>
          <w:szCs w:val="22"/>
          <w:lang w:val="fr-FR"/>
        </w:rPr>
        <w:t>vraie</w:t>
      </w:r>
      <w:r w:rsidR="00094C95" w:rsidRPr="00BC6E89">
        <w:rPr>
          <w:rFonts w:ascii="Verdana" w:hAnsi="Verdana" w:cs="Arial"/>
          <w:sz w:val="22"/>
          <w:szCs w:val="22"/>
          <w:lang w:val="fr-FR"/>
        </w:rPr>
        <w:t xml:space="preserve"> filiale au Canada de nous faire payer cher nos choix de société. Si on ne considère que les entreprises des Etats-Unis actuellement présentes en Europe, 81% d’entre elles ont aussi une filiale au Canada. Ce sont 47.000 entreprises américaines qui pourront déjà contester nos lois via le CETA sans attendre le TTIP</w:t>
      </w:r>
      <w:r w:rsidR="00094C95" w:rsidRPr="00BC6E89">
        <w:rPr>
          <w:rStyle w:val="Appelnotedebasdep"/>
          <w:rFonts w:ascii="Verdana" w:hAnsi="Verdana" w:cs="Arial"/>
          <w:sz w:val="22"/>
          <w:szCs w:val="22"/>
          <w:lang w:val="fr-FR"/>
        </w:rPr>
        <w:footnoteReference w:id="50"/>
      </w:r>
      <w:r w:rsidR="00094C95" w:rsidRPr="00BC6E89">
        <w:rPr>
          <w:rFonts w:ascii="Verdana" w:hAnsi="Verdana" w:cs="Arial"/>
          <w:sz w:val="22"/>
          <w:szCs w:val="22"/>
          <w:lang w:val="fr-FR"/>
        </w:rPr>
        <w:t xml:space="preserve">. </w:t>
      </w:r>
    </w:p>
    <w:p w14:paraId="0AE9D689" w14:textId="0544BC4F" w:rsidR="00094C95" w:rsidRPr="001A04C5" w:rsidRDefault="00094C95" w:rsidP="00094C95">
      <w:pPr>
        <w:spacing w:after="120"/>
        <w:rPr>
          <w:rFonts w:ascii="Verdana" w:hAnsi="Verdana"/>
          <w:sz w:val="22"/>
          <w:szCs w:val="22"/>
          <w:lang w:val="fr-FR"/>
        </w:rPr>
      </w:pPr>
      <w:r w:rsidRPr="001A04C5">
        <w:rPr>
          <w:rFonts w:ascii="Verdana" w:hAnsi="Verdana"/>
          <w:sz w:val="22"/>
          <w:szCs w:val="22"/>
          <w:lang w:val="fr-FR"/>
        </w:rPr>
        <w:t>De nombreux autres traités, dont il est prévu qu’ils intègrent aussi une telle clause, sont en négociation ou en attente de signature : avec le Vietnam, la Chine, Singapour, la Birmanie, l’Inde, le Maroc, la Tunisie, les Philippines et, bien sûr, les Etats-Unis. A cela s’ajoutent plus de 60 accords signés par la Belgique avec des pays tiers, et une trentaine en attente de signature.</w:t>
      </w:r>
    </w:p>
    <w:p w14:paraId="47D7F38D" w14:textId="77777777" w:rsidR="00094C95" w:rsidRPr="001A04C5" w:rsidRDefault="00094C95" w:rsidP="00094C95">
      <w:pPr>
        <w:spacing w:after="120"/>
        <w:rPr>
          <w:rFonts w:ascii="Verdana" w:hAnsi="Verdana"/>
          <w:sz w:val="22"/>
          <w:szCs w:val="22"/>
          <w:lang w:val="fr-FR"/>
        </w:rPr>
      </w:pPr>
      <w:r w:rsidRPr="001A04C5">
        <w:rPr>
          <w:rFonts w:ascii="Verdana" w:hAnsi="Verdana"/>
          <w:sz w:val="22"/>
          <w:szCs w:val="22"/>
          <w:lang w:val="fr-FR"/>
        </w:rPr>
        <w:t>C’est pour cette raison que l’Europe ne peut se permettre de précipiter sa décision sur le CETA. L’approche qui sera approuvée dans le cadre du CETA servira de modèle à tous ces autres traités. C’est donc la marge de manœuvre et le développement durable des pays en développement qui sont directement concernés par le débat actuel.</w:t>
      </w:r>
    </w:p>
    <w:p w14:paraId="0756856D" w14:textId="526ABA6B" w:rsidR="0077554B" w:rsidRPr="001A04C5" w:rsidRDefault="00094C95" w:rsidP="00094C95">
      <w:pPr>
        <w:spacing w:after="120"/>
        <w:rPr>
          <w:rFonts w:ascii="Verdana" w:hAnsi="Verdana"/>
          <w:sz w:val="22"/>
          <w:szCs w:val="22"/>
          <w:lang w:val="fr-FR"/>
        </w:rPr>
      </w:pPr>
      <w:r w:rsidRPr="001A04C5">
        <w:rPr>
          <w:rFonts w:ascii="Verdana" w:hAnsi="Verdana"/>
          <w:sz w:val="22"/>
          <w:szCs w:val="22"/>
          <w:lang w:val="fr-FR"/>
        </w:rPr>
        <w:t>De plus, plusieurs pays dans le monde ont proposé récemment des approches novatrices en matière de politique d’investissements internationaux, notamment l’Inde qui a proposé un nouveau texte modèle</w:t>
      </w:r>
      <w:r w:rsidRPr="001A04C5">
        <w:rPr>
          <w:rStyle w:val="Appelnotedebasdep"/>
          <w:rFonts w:ascii="Verdana" w:hAnsi="Verdana"/>
          <w:sz w:val="22"/>
          <w:szCs w:val="22"/>
          <w:lang w:val="fr-FR"/>
        </w:rPr>
        <w:footnoteReference w:id="51"/>
      </w:r>
      <w:r w:rsidRPr="001A04C5">
        <w:rPr>
          <w:rFonts w:ascii="Verdana" w:hAnsi="Verdana"/>
          <w:sz w:val="22"/>
          <w:szCs w:val="22"/>
          <w:lang w:val="fr-FR"/>
        </w:rPr>
        <w:t>, l’Afrique du Sud qui a mis fin systématiquement à ses traités d’ancienne génération, à commencer par celui qui la liait à la Belgique</w:t>
      </w:r>
      <w:r w:rsidRPr="001A04C5">
        <w:rPr>
          <w:rStyle w:val="Appelnotedebasdep"/>
          <w:rFonts w:ascii="Verdana" w:hAnsi="Verdana"/>
          <w:sz w:val="22"/>
          <w:szCs w:val="22"/>
          <w:lang w:val="fr-FR"/>
        </w:rPr>
        <w:footnoteReference w:id="52"/>
      </w:r>
      <w:r w:rsidRPr="001A04C5">
        <w:rPr>
          <w:rFonts w:ascii="Verdana" w:hAnsi="Verdana"/>
          <w:sz w:val="22"/>
          <w:szCs w:val="22"/>
          <w:lang w:val="fr-FR"/>
        </w:rPr>
        <w:t>, de même que l’Indonésie</w:t>
      </w:r>
      <w:r w:rsidRPr="001A04C5">
        <w:rPr>
          <w:rStyle w:val="Appelnotedebasdep"/>
          <w:rFonts w:ascii="Verdana" w:hAnsi="Verdana"/>
          <w:sz w:val="22"/>
          <w:szCs w:val="22"/>
          <w:lang w:val="fr-FR"/>
        </w:rPr>
        <w:footnoteReference w:id="53"/>
      </w:r>
      <w:r w:rsidRPr="001A04C5">
        <w:rPr>
          <w:rFonts w:ascii="Verdana" w:hAnsi="Verdana"/>
          <w:sz w:val="22"/>
          <w:szCs w:val="22"/>
          <w:lang w:val="fr-FR"/>
        </w:rPr>
        <w:t xml:space="preserve">, le Brésil dont le parlement n’a jamais ratifié un traité d’investissement sans avoir à rougir de son classement en </w:t>
      </w:r>
      <w:r w:rsidRPr="001A04C5">
        <w:rPr>
          <w:rFonts w:ascii="Verdana" w:hAnsi="Verdana"/>
          <w:sz w:val="22"/>
          <w:szCs w:val="22"/>
          <w:lang w:val="fr-FR"/>
        </w:rPr>
        <w:lastRenderedPageBreak/>
        <w:t>terme d’investissements étrangers</w:t>
      </w:r>
      <w:r w:rsidRPr="001A04C5">
        <w:rPr>
          <w:rStyle w:val="Appelnotedebasdep"/>
          <w:rFonts w:ascii="Verdana" w:hAnsi="Verdana"/>
          <w:sz w:val="22"/>
          <w:szCs w:val="22"/>
          <w:lang w:val="fr-FR"/>
        </w:rPr>
        <w:footnoteReference w:id="54"/>
      </w:r>
      <w:r w:rsidRPr="001A04C5">
        <w:rPr>
          <w:rFonts w:ascii="Verdana" w:hAnsi="Verdana"/>
          <w:sz w:val="22"/>
          <w:szCs w:val="22"/>
          <w:lang w:val="fr-FR"/>
        </w:rPr>
        <w:t>. Pendant ce temps, l’UE promeut un modèle qui est essentiellement une réplique de l’accord multilatéral sur les investissements, que l’opposition massive de la société civile avait permis d’enterrer en 1998</w:t>
      </w:r>
      <w:r w:rsidRPr="001A04C5">
        <w:rPr>
          <w:rStyle w:val="Appelnotedebasdep"/>
          <w:rFonts w:ascii="Verdana" w:hAnsi="Verdana"/>
          <w:sz w:val="22"/>
          <w:szCs w:val="22"/>
          <w:lang w:val="fr-FR"/>
        </w:rPr>
        <w:footnoteReference w:id="55"/>
      </w:r>
      <w:r w:rsidRPr="001A04C5">
        <w:rPr>
          <w:rFonts w:ascii="Verdana" w:hAnsi="Verdana"/>
          <w:sz w:val="22"/>
          <w:szCs w:val="22"/>
          <w:lang w:val="fr-FR"/>
        </w:rPr>
        <w:t>.</w:t>
      </w:r>
    </w:p>
    <w:p w14:paraId="7031D3A1" w14:textId="77777777" w:rsidR="00421E0A" w:rsidRPr="001A04C5" w:rsidRDefault="00421E0A" w:rsidP="00421E0A">
      <w:pPr>
        <w:spacing w:after="60"/>
        <w:rPr>
          <w:rFonts w:ascii="Verdana" w:hAnsi="Verdana" w:cs="Arial"/>
          <w:i/>
          <w:sz w:val="22"/>
          <w:szCs w:val="22"/>
          <w:lang w:val="fr-FR"/>
        </w:rPr>
      </w:pPr>
    </w:p>
    <w:p w14:paraId="4290C07F" w14:textId="77777777" w:rsidR="00421E0A" w:rsidRPr="001A04C5" w:rsidRDefault="00421E0A" w:rsidP="00421E0A">
      <w:pPr>
        <w:spacing w:after="60"/>
        <w:rPr>
          <w:rFonts w:ascii="Verdana" w:hAnsi="Verdana" w:cs="Arial"/>
          <w:b/>
          <w:sz w:val="22"/>
          <w:szCs w:val="22"/>
          <w:lang w:val="fr-FR"/>
        </w:rPr>
      </w:pPr>
      <w:r w:rsidRPr="001A04C5">
        <w:rPr>
          <w:rFonts w:ascii="Verdana" w:hAnsi="Verdana" w:cs="Arial"/>
          <w:b/>
          <w:sz w:val="22"/>
          <w:szCs w:val="22"/>
          <w:lang w:val="fr-FR"/>
        </w:rPr>
        <w:t>L’ère post-arbitrage : après les « droits des investisseurs », les droits humains ?</w:t>
      </w:r>
    </w:p>
    <w:p w14:paraId="4635AF76" w14:textId="77777777" w:rsidR="00421E0A" w:rsidRPr="001A04C5" w:rsidRDefault="00421E0A" w:rsidP="00421E0A">
      <w:pPr>
        <w:spacing w:after="60"/>
        <w:rPr>
          <w:rFonts w:ascii="Verdana" w:hAnsi="Verdana" w:cs="Arial"/>
          <w:sz w:val="22"/>
          <w:szCs w:val="22"/>
          <w:lang w:val="fr-FR"/>
        </w:rPr>
      </w:pPr>
      <w:r w:rsidRPr="001A04C5">
        <w:rPr>
          <w:rFonts w:ascii="Verdana" w:hAnsi="Verdana" w:cs="Arial"/>
          <w:sz w:val="22"/>
          <w:szCs w:val="22"/>
          <w:lang w:val="fr-FR"/>
        </w:rPr>
        <w:t>Le Professeur Van Harten avance l’idée que satisfaire au critère d’équilibre, un système de règlement des différends devrait au minimum permettre d’obtenir que les investisseurs transnationaux aient des comptes à rendre s’ils enfreignent le droit du travail, des consommateurs ou les normes environnementales.</w:t>
      </w:r>
    </w:p>
    <w:p w14:paraId="14992E37" w14:textId="77777777" w:rsidR="00421E0A" w:rsidRPr="001A04C5" w:rsidRDefault="00421E0A" w:rsidP="00421E0A">
      <w:pPr>
        <w:spacing w:after="60"/>
        <w:rPr>
          <w:rFonts w:ascii="Verdana" w:hAnsi="Verdana" w:cs="Arial"/>
          <w:sz w:val="22"/>
          <w:szCs w:val="22"/>
          <w:lang w:val="fr-FR"/>
        </w:rPr>
      </w:pPr>
      <w:r w:rsidRPr="001A04C5">
        <w:rPr>
          <w:rFonts w:ascii="Verdana" w:hAnsi="Verdana" w:cs="Arial"/>
          <w:sz w:val="22"/>
          <w:szCs w:val="22"/>
        </w:rPr>
        <w:t xml:space="preserve">La question centrale est là : avant d’offrir encore plus de « droits » aux investisseurs transnationaux, pourquoi ne pas renforcer les leviers pour le respect des droits humains, inverser la hiérarchie de facto des conventions internationales qui placent aujourd’hui le commerce au-dessus de l’humain (car l’un est contraignant et pas l’autre) ? Cela touche directement aux </w:t>
      </w:r>
      <w:r w:rsidRPr="001A04C5">
        <w:rPr>
          <w:rFonts w:ascii="Verdana" w:hAnsi="Verdana" w:cs="Arial"/>
          <w:sz w:val="22"/>
          <w:szCs w:val="22"/>
          <w:lang w:val="fr-FR"/>
        </w:rPr>
        <w:t>débats soulevé par le Professeur Eric David dans son récent ouvrage « Juger les multinationales », par le Professeur Olivier De Schutter dans « Le commerce au service du développement durable » et par l’Organisation Internationale du Travail durant sa Conférence 2016 qui aborde pour la première fois la question du travail décent dans les chaînes d’approvisionnement mondiales, l’occasion pour l’Asia Floor Wage Alliance de réclamer des obligations de filière en matière de salaire vital</w:t>
      </w:r>
      <w:r w:rsidRPr="001A04C5">
        <w:rPr>
          <w:rFonts w:ascii="Verdana" w:hAnsi="Verdana" w:cs="Arial"/>
          <w:sz w:val="22"/>
          <w:szCs w:val="22"/>
          <w:vertAlign w:val="superscript"/>
          <w:lang w:val="fr-FR"/>
        </w:rPr>
        <w:footnoteReference w:id="56"/>
      </w:r>
      <w:r w:rsidRPr="001A04C5">
        <w:rPr>
          <w:rFonts w:ascii="Verdana" w:hAnsi="Verdana" w:cs="Arial"/>
          <w:sz w:val="22"/>
          <w:szCs w:val="22"/>
          <w:lang w:val="fr-FR"/>
        </w:rPr>
        <w:t>. C’est encore ce débat que vise à alimenter l’idée de « normes de produits » selon laquelle l’accès aux 500 millions de consommateurs européens serait interdit aux produits confectionnés dans des conditions inhumaines ou polluantes</w:t>
      </w:r>
      <w:r w:rsidRPr="001A04C5">
        <w:rPr>
          <w:rFonts w:ascii="Verdana" w:hAnsi="Verdana" w:cs="Arial"/>
          <w:sz w:val="22"/>
          <w:szCs w:val="22"/>
          <w:vertAlign w:val="superscript"/>
          <w:lang w:val="fr-FR"/>
        </w:rPr>
        <w:footnoteReference w:id="57"/>
      </w:r>
      <w:r w:rsidRPr="001A04C5">
        <w:rPr>
          <w:rFonts w:ascii="Verdana" w:hAnsi="Verdana" w:cs="Arial"/>
          <w:sz w:val="22"/>
          <w:szCs w:val="22"/>
          <w:lang w:val="fr-FR"/>
        </w:rPr>
        <w:t>.</w:t>
      </w:r>
      <w:r w:rsidRPr="001A04C5">
        <w:rPr>
          <w:rFonts w:ascii="Verdana" w:hAnsi="Verdana" w:cs="Arial"/>
          <w:sz w:val="22"/>
          <w:szCs w:val="22"/>
        </w:rPr>
        <w:t xml:space="preserve"> </w:t>
      </w:r>
      <w:r w:rsidRPr="001A04C5">
        <w:rPr>
          <w:rFonts w:ascii="Verdana" w:hAnsi="Verdana" w:cs="Arial"/>
          <w:sz w:val="22"/>
          <w:szCs w:val="22"/>
          <w:lang w:val="fr-FR"/>
        </w:rPr>
        <w:t>Enfin, comment accepter l’attitude des autorités européennes déterminées à faire aboutir les traités TTIP et CETA réclamés par Business Europe tandis que ces mêmes autorités font preuve d’une mauvaise volonté quasi totale dans la négociation à l’ONU d’un autre traité qui vise à faire respecter les droits humains par les entreprises ?</w:t>
      </w:r>
      <w:r w:rsidRPr="001A04C5">
        <w:rPr>
          <w:rFonts w:ascii="Verdana" w:hAnsi="Verdana" w:cs="Arial"/>
          <w:sz w:val="22"/>
          <w:szCs w:val="22"/>
          <w:vertAlign w:val="superscript"/>
          <w:lang w:val="fr-FR"/>
        </w:rPr>
        <w:footnoteReference w:id="58"/>
      </w:r>
    </w:p>
    <w:p w14:paraId="538EC07B" w14:textId="77777777" w:rsidR="00421E0A" w:rsidRPr="00BC6E89" w:rsidRDefault="00421E0A" w:rsidP="00421E0A">
      <w:pPr>
        <w:widowControl w:val="0"/>
        <w:autoSpaceDE w:val="0"/>
        <w:autoSpaceDN w:val="0"/>
        <w:adjustRightInd w:val="0"/>
        <w:rPr>
          <w:rFonts w:ascii="Verdana" w:hAnsi="Verdana" w:cs="Tahoma"/>
          <w:color w:val="262626"/>
          <w:sz w:val="22"/>
          <w:szCs w:val="22"/>
          <w:lang w:val="fr-FR"/>
        </w:rPr>
      </w:pPr>
    </w:p>
    <w:p w14:paraId="267B19FC" w14:textId="77777777" w:rsidR="002834DD" w:rsidRPr="00BC6E89" w:rsidRDefault="00421E0A" w:rsidP="001A04C5">
      <w:pPr>
        <w:pStyle w:val="Titre1"/>
        <w:numPr>
          <w:ilvl w:val="0"/>
          <w:numId w:val="3"/>
        </w:numPr>
      </w:pPr>
      <w:bookmarkStart w:id="17" w:name="_Toc463603275"/>
      <w:r w:rsidRPr="00BC6E89">
        <w:t>Valeurs partagées, droit du travail et environnement</w:t>
      </w:r>
      <w:bookmarkEnd w:id="17"/>
    </w:p>
    <w:p w14:paraId="090C979B" w14:textId="77777777" w:rsidR="0036518A" w:rsidRPr="00BC6E89" w:rsidRDefault="00421E0A" w:rsidP="00421E0A">
      <w:pPr>
        <w:rPr>
          <w:rFonts w:ascii="Verdana" w:hAnsi="Verdana"/>
          <w:sz w:val="22"/>
          <w:szCs w:val="22"/>
        </w:rPr>
      </w:pPr>
      <w:r w:rsidRPr="00BC6E89">
        <w:rPr>
          <w:rFonts w:ascii="Verdana" w:hAnsi="Verdana"/>
          <w:sz w:val="22"/>
          <w:szCs w:val="22"/>
        </w:rPr>
        <w:t>Ici encore, la déclaration ne fait que souligner ce qui se trouve déjà dans le CETA en terme de développement durable, de droit du travail et d’environnement, dispositions qui restent largement insuffisantes.</w:t>
      </w:r>
    </w:p>
    <w:p w14:paraId="5D2DC865" w14:textId="77777777" w:rsidR="0036518A" w:rsidRPr="00BC6E89" w:rsidRDefault="0036518A" w:rsidP="00421E0A">
      <w:pPr>
        <w:rPr>
          <w:rFonts w:ascii="Verdana" w:hAnsi="Verdana"/>
          <w:sz w:val="22"/>
          <w:szCs w:val="22"/>
        </w:rPr>
      </w:pPr>
    </w:p>
    <w:p w14:paraId="0C3BD2A2" w14:textId="77777777" w:rsidR="00D03113" w:rsidRDefault="0036518A" w:rsidP="0036518A">
      <w:pPr>
        <w:rPr>
          <w:rFonts w:ascii="Verdana" w:hAnsi="Verdana"/>
          <w:sz w:val="22"/>
          <w:szCs w:val="22"/>
          <w:lang w:val="fr-FR"/>
        </w:rPr>
      </w:pPr>
      <w:r w:rsidRPr="00BC6E89">
        <w:rPr>
          <w:rFonts w:ascii="Verdana" w:hAnsi="Verdana"/>
          <w:sz w:val="22"/>
          <w:szCs w:val="22"/>
          <w:lang w:val="fr-FR"/>
        </w:rPr>
        <w:lastRenderedPageBreak/>
        <w:t xml:space="preserve">On constate par exemple que le chapitre sur le développement durable précise que les parties s’engagent notamment à promouvoir et mettre en œuvre de manière effective les 4 normes fondamentales du travail de l’OIT. Mais ce chapitre « développement durable » n’est pas sujet au mécanisme de règlement des conflits de l’ALE, ni aux sanctions qui y sont liées. </w:t>
      </w:r>
    </w:p>
    <w:p w14:paraId="6860F3C7" w14:textId="77777777" w:rsidR="00D03113" w:rsidRDefault="00D03113" w:rsidP="0036518A">
      <w:pPr>
        <w:rPr>
          <w:rFonts w:ascii="Verdana" w:hAnsi="Verdana"/>
          <w:sz w:val="22"/>
          <w:szCs w:val="22"/>
          <w:lang w:val="fr-FR"/>
        </w:rPr>
      </w:pPr>
    </w:p>
    <w:p w14:paraId="296B6E4B" w14:textId="6B4033E4" w:rsidR="00D03113" w:rsidRDefault="0036518A" w:rsidP="0036518A">
      <w:pPr>
        <w:rPr>
          <w:rFonts w:ascii="Verdana" w:hAnsi="Verdana"/>
          <w:sz w:val="22"/>
          <w:szCs w:val="22"/>
          <w:lang w:val="fr-FR"/>
        </w:rPr>
      </w:pPr>
      <w:r w:rsidRPr="00BC6E89">
        <w:rPr>
          <w:rFonts w:ascii="Verdana" w:hAnsi="Verdana"/>
          <w:sz w:val="22"/>
          <w:szCs w:val="22"/>
          <w:lang w:val="fr-FR"/>
        </w:rPr>
        <w:t>Par contre, il prévoit un certain nombre de processus de consultations et de plaintes : le conseil de l’ALE sur le commerce et le développement durable (groupe intergouvernemental chargé de suivre l’application du chapitre) ; des comités nationaux sur le travail pouvant émettre des recommandations et des dialogues annuels avec la société civile sur la mise en œuvre du chapitre. Comme le résume la Confédération des syndicats britanniques sur base de l’expérience du travail basé sur les chapitres « développement durable » similaires d’accords précédents (ici l’accord UE-Colombie-Pérou), « Un des États-partie à l’accord peut initier des sanctions commerciales pour contrer par exemple une procédure d’autorisation à l’importation discriminatoire mais si le gouvernement colombien décide d’abolir le droit à la négociation collective, tout ce que l’accord permet c’est d’organiser quelques réunions et de produire quelques rapports que le gouvernement colombien peut parfaitement l’ignorer.</w:t>
      </w:r>
      <w:r w:rsidRPr="00BC6E89">
        <w:rPr>
          <w:rStyle w:val="Appelnotedebasdep"/>
          <w:rFonts w:ascii="Verdana" w:hAnsi="Verdana"/>
          <w:sz w:val="22"/>
          <w:szCs w:val="22"/>
          <w:lang w:val="fr-FR"/>
        </w:rPr>
        <w:footnoteReference w:id="59"/>
      </w:r>
      <w:r w:rsidRPr="00BC6E89">
        <w:rPr>
          <w:rFonts w:ascii="Verdana" w:hAnsi="Verdana"/>
          <w:sz w:val="22"/>
          <w:szCs w:val="22"/>
          <w:lang w:val="fr-FR"/>
        </w:rPr>
        <w:t>» On en revient au constat que ceci instaure une hiérarchie plaçant de facto les règles commerciales au-dessus des normes du travail et de protection de l’environnement.</w:t>
      </w:r>
      <w:bookmarkStart w:id="18" w:name="_GoBack"/>
      <w:bookmarkEnd w:id="18"/>
    </w:p>
    <w:p w14:paraId="1972FC27" w14:textId="77777777" w:rsidR="00D03113" w:rsidRPr="00BC6E89" w:rsidRDefault="00D03113" w:rsidP="0036518A">
      <w:pPr>
        <w:rPr>
          <w:rFonts w:ascii="Verdana" w:hAnsi="Verdana"/>
          <w:sz w:val="22"/>
          <w:szCs w:val="22"/>
          <w:lang w:val="fr-FR"/>
        </w:rPr>
      </w:pPr>
    </w:p>
    <w:p w14:paraId="3986D93F" w14:textId="2F7D8D65" w:rsidR="0036518A" w:rsidRPr="00BC6E89" w:rsidRDefault="0036518A" w:rsidP="0036518A">
      <w:pPr>
        <w:rPr>
          <w:rFonts w:ascii="Verdana" w:hAnsi="Verdana"/>
          <w:sz w:val="22"/>
          <w:szCs w:val="22"/>
          <w:lang w:val="fr-FR"/>
        </w:rPr>
      </w:pPr>
      <w:r w:rsidRPr="00BC6E89">
        <w:rPr>
          <w:rFonts w:ascii="Verdana" w:hAnsi="Verdana"/>
          <w:sz w:val="22"/>
          <w:szCs w:val="22"/>
          <w:lang w:val="fr-FR"/>
        </w:rPr>
        <w:t>L’ALE UE-Corée, régulièrement cité en exemple par la Commission, comporte un chapitre sur le développement durable similaire qui souffre des mêmes failles</w:t>
      </w:r>
      <w:r w:rsidRPr="00BC6E89">
        <w:rPr>
          <w:rStyle w:val="Appelnotedebasdep"/>
          <w:rFonts w:ascii="Verdana" w:hAnsi="Verdana"/>
          <w:sz w:val="22"/>
          <w:szCs w:val="22"/>
          <w:lang w:val="fr-FR"/>
        </w:rPr>
        <w:footnoteReference w:id="60"/>
      </w:r>
      <w:r w:rsidRPr="00BC6E89">
        <w:rPr>
          <w:rFonts w:ascii="Verdana" w:hAnsi="Verdana"/>
          <w:sz w:val="22"/>
          <w:szCs w:val="22"/>
          <w:lang w:val="fr-FR"/>
        </w:rPr>
        <w:t>.</w:t>
      </w:r>
    </w:p>
    <w:p w14:paraId="1AB7980C" w14:textId="77777777" w:rsidR="0036518A" w:rsidRPr="00BC6E89" w:rsidRDefault="0036518A" w:rsidP="00421E0A">
      <w:pPr>
        <w:rPr>
          <w:rFonts w:ascii="Verdana" w:hAnsi="Verdana"/>
          <w:sz w:val="22"/>
          <w:szCs w:val="22"/>
        </w:rPr>
      </w:pPr>
    </w:p>
    <w:p w14:paraId="5BA09038" w14:textId="3FA47258" w:rsidR="00421E0A" w:rsidRPr="00BC6E89" w:rsidRDefault="00421E0A" w:rsidP="00421E0A">
      <w:pPr>
        <w:rPr>
          <w:rFonts w:ascii="Verdana" w:hAnsi="Verdana"/>
          <w:sz w:val="22"/>
          <w:szCs w:val="22"/>
        </w:rPr>
      </w:pPr>
      <w:r w:rsidRPr="00BC6E89">
        <w:rPr>
          <w:rFonts w:ascii="Verdana" w:hAnsi="Verdana"/>
          <w:sz w:val="22"/>
          <w:szCs w:val="22"/>
        </w:rPr>
        <w:t xml:space="preserve">Là encore il y a des propositions intéressantes dans les protocoles proposés par DGB-CLC qui ne semblent pas </w:t>
      </w:r>
      <w:r w:rsidR="006B0297" w:rsidRPr="00BC6E89">
        <w:rPr>
          <w:rFonts w:ascii="Verdana" w:hAnsi="Verdana"/>
          <w:sz w:val="22"/>
          <w:szCs w:val="22"/>
        </w:rPr>
        <w:t xml:space="preserve">prises en considération </w:t>
      </w:r>
      <w:r w:rsidR="00094C95" w:rsidRPr="00BC6E89">
        <w:rPr>
          <w:rFonts w:ascii="Verdana" w:hAnsi="Verdana"/>
          <w:sz w:val="22"/>
          <w:szCs w:val="22"/>
        </w:rPr>
        <w:t>par la présente déclaration</w:t>
      </w:r>
      <w:r w:rsidRPr="00BC6E89">
        <w:rPr>
          <w:rFonts w:ascii="Verdana" w:hAnsi="Verdana"/>
          <w:sz w:val="22"/>
          <w:szCs w:val="22"/>
        </w:rPr>
        <w:t xml:space="preserve">. </w:t>
      </w:r>
    </w:p>
    <w:p w14:paraId="39C98C9C" w14:textId="77777777" w:rsidR="00421E0A" w:rsidRPr="00BC6E89" w:rsidRDefault="00421E0A" w:rsidP="00421E0A">
      <w:pPr>
        <w:rPr>
          <w:rFonts w:ascii="Verdana" w:hAnsi="Verdana"/>
          <w:sz w:val="22"/>
          <w:szCs w:val="22"/>
        </w:rPr>
      </w:pPr>
    </w:p>
    <w:p w14:paraId="04241577" w14:textId="77777777" w:rsidR="00421E0A" w:rsidRPr="00BC6E89" w:rsidRDefault="00421E0A" w:rsidP="00421E0A">
      <w:pPr>
        <w:rPr>
          <w:rFonts w:ascii="Verdana" w:hAnsi="Verdana"/>
          <w:sz w:val="22"/>
          <w:szCs w:val="22"/>
        </w:rPr>
      </w:pPr>
      <w:r w:rsidRPr="00BC6E89">
        <w:rPr>
          <w:rFonts w:ascii="Verdana" w:hAnsi="Verdana"/>
          <w:sz w:val="22"/>
          <w:szCs w:val="22"/>
        </w:rPr>
        <w:t>Le CETA prévoit d’ouvrir davantage le commerce de biens et services à la concurrence sans socle de droits communs solides, mettant ainsi en compétition et sous pression les travailleurs, les systèmes sociaux et environnementaux. Pourtant, le Canada avait proposé pendant les négociations d’inclure des sanctions en cas de non-respect de droits du travail internationalement reconnus</w:t>
      </w:r>
      <w:r w:rsidRPr="00BC6E89">
        <w:rPr>
          <w:rStyle w:val="Appelnotedebasdep"/>
          <w:rFonts w:ascii="Verdana" w:hAnsi="Verdana"/>
          <w:sz w:val="22"/>
          <w:szCs w:val="22"/>
        </w:rPr>
        <w:footnoteReference w:id="61"/>
      </w:r>
      <w:r w:rsidRPr="00BC6E89">
        <w:rPr>
          <w:rFonts w:ascii="Verdana" w:hAnsi="Verdana"/>
          <w:sz w:val="22"/>
          <w:szCs w:val="22"/>
        </w:rPr>
        <w:t>. La Commission européenne a refusé. Comment des gouvernements préoccupés par la protection de leurs citoyens pourraient-ils signer un traité qui instaure une nouvelle discipline commerciale soumise à des sanctions dissuasives mais déconsidère les droits des travailleurs au point de simplement les citer sans les faire respecter ?</w:t>
      </w:r>
    </w:p>
    <w:p w14:paraId="77583312" w14:textId="77777777" w:rsidR="00421E0A" w:rsidRPr="00BC6E89" w:rsidRDefault="00421E0A" w:rsidP="00421E0A">
      <w:pPr>
        <w:rPr>
          <w:rFonts w:ascii="Verdana" w:hAnsi="Verdana"/>
          <w:sz w:val="22"/>
          <w:szCs w:val="22"/>
        </w:rPr>
      </w:pPr>
    </w:p>
    <w:p w14:paraId="0DAC2643" w14:textId="77777777" w:rsidR="00421E0A" w:rsidRPr="00BC6E89" w:rsidRDefault="00421E0A" w:rsidP="00421E0A">
      <w:pPr>
        <w:rPr>
          <w:rFonts w:ascii="Verdana" w:hAnsi="Verdana"/>
          <w:sz w:val="22"/>
          <w:szCs w:val="22"/>
        </w:rPr>
      </w:pPr>
    </w:p>
    <w:p w14:paraId="7DBA6765" w14:textId="56C21ADF" w:rsidR="005D59AC" w:rsidRPr="00BC6E89" w:rsidRDefault="005D59AC" w:rsidP="001A04C5">
      <w:pPr>
        <w:pStyle w:val="Titre1"/>
        <w:numPr>
          <w:ilvl w:val="0"/>
          <w:numId w:val="3"/>
        </w:numPr>
      </w:pPr>
      <w:bookmarkStart w:id="19" w:name="_Toc463603276"/>
      <w:r w:rsidRPr="00BC6E89">
        <w:lastRenderedPageBreak/>
        <w:t>Concernant l’eau</w:t>
      </w:r>
      <w:bookmarkEnd w:id="19"/>
    </w:p>
    <w:p w14:paraId="174F42CB" w14:textId="77777777" w:rsidR="005D59AC" w:rsidRPr="00BC6E89" w:rsidRDefault="005D59AC" w:rsidP="005D59AC">
      <w:pPr>
        <w:rPr>
          <w:rFonts w:ascii="Verdana" w:hAnsi="Verdana"/>
          <w:b/>
          <w:sz w:val="22"/>
          <w:szCs w:val="22"/>
        </w:rPr>
      </w:pPr>
    </w:p>
    <w:p w14:paraId="5E2A7C10" w14:textId="5F3E7A01" w:rsidR="005D59AC" w:rsidRPr="00BC6E89" w:rsidRDefault="005D59AC" w:rsidP="005D59AC">
      <w:pPr>
        <w:rPr>
          <w:rFonts w:ascii="Verdana" w:hAnsi="Verdana"/>
          <w:sz w:val="22"/>
          <w:szCs w:val="22"/>
        </w:rPr>
      </w:pPr>
      <w:r w:rsidRPr="00BC6E89">
        <w:rPr>
          <w:rFonts w:ascii="Verdana" w:hAnsi="Verdana"/>
          <w:sz w:val="22"/>
          <w:szCs w:val="22"/>
        </w:rPr>
        <w:t>Ici encore, rien de nouveau par rapport à ce que le texte du CETA prévoyait déjà. On peut considérer à première vue que l’accès à l’eau est protégé dans le CETA, puisque dans l’annexe 2 on retrouve une exception pour l’UE « à l’égard de la prestation de services relatifs à la collecte, l’épuration et distribution de l’eau ».</w:t>
      </w:r>
    </w:p>
    <w:p w14:paraId="1EE64ECD" w14:textId="77777777" w:rsidR="005D59AC" w:rsidRPr="00BC6E89" w:rsidRDefault="005D59AC" w:rsidP="005D59AC">
      <w:pPr>
        <w:rPr>
          <w:rFonts w:ascii="Verdana" w:hAnsi="Verdana"/>
          <w:sz w:val="22"/>
          <w:szCs w:val="22"/>
        </w:rPr>
      </w:pPr>
    </w:p>
    <w:p w14:paraId="0469D1E9" w14:textId="77777777" w:rsidR="005D59AC" w:rsidRPr="00BC6E89" w:rsidRDefault="005D59AC" w:rsidP="005D59AC">
      <w:pPr>
        <w:rPr>
          <w:rFonts w:ascii="Verdana" w:hAnsi="Verdana"/>
          <w:sz w:val="22"/>
          <w:szCs w:val="22"/>
          <w:lang w:val="fr-FR"/>
        </w:rPr>
      </w:pPr>
      <w:r w:rsidRPr="00BC6E89">
        <w:rPr>
          <w:rFonts w:ascii="Verdana" w:hAnsi="Verdana"/>
          <w:sz w:val="22"/>
          <w:szCs w:val="22"/>
        </w:rPr>
        <w:t xml:space="preserve">Selon une étude conjointe des syndicats de services publics et d’ONG européennes, il subsiste une </w:t>
      </w:r>
      <w:r w:rsidRPr="00BC6E89">
        <w:rPr>
          <w:rFonts w:ascii="Verdana" w:hAnsi="Verdana"/>
          <w:sz w:val="22"/>
          <w:szCs w:val="22"/>
          <w:lang w:val="fr-FR"/>
        </w:rPr>
        <w:t xml:space="preserve">faille importante: </w:t>
      </w:r>
      <w:r w:rsidRPr="00BC6E89">
        <w:rPr>
          <w:rFonts w:ascii="Verdana" w:hAnsi="Verdana"/>
          <w:i/>
          <w:sz w:val="22"/>
          <w:szCs w:val="22"/>
          <w:lang w:val="fr-FR"/>
        </w:rPr>
        <w:t xml:space="preserve">cette réserve ne couvre pas l’obligation généralisée de garantir la protection des investissements </w:t>
      </w:r>
      <w:r w:rsidRPr="00BC6E89">
        <w:rPr>
          <w:rFonts w:ascii="Verdana" w:hAnsi="Verdana"/>
          <w:sz w:val="22"/>
          <w:szCs w:val="22"/>
          <w:lang w:val="fr-FR"/>
        </w:rPr>
        <w:t>(voir note consacrée à ce sujet</w:t>
      </w:r>
      <w:r w:rsidRPr="00BC6E89">
        <w:rPr>
          <w:rFonts w:ascii="Verdana" w:hAnsi="Verdana"/>
          <w:i/>
          <w:sz w:val="22"/>
          <w:szCs w:val="22"/>
          <w:vertAlign w:val="superscript"/>
          <w:lang w:val="fr-FR"/>
        </w:rPr>
        <w:footnoteReference w:id="62"/>
      </w:r>
      <w:r w:rsidRPr="00BC6E89">
        <w:rPr>
          <w:rFonts w:ascii="Verdana" w:hAnsi="Verdana"/>
          <w:i/>
          <w:sz w:val="22"/>
          <w:szCs w:val="22"/>
          <w:lang w:val="fr-FR"/>
        </w:rPr>
        <w:t>). Ainsi, une société domiciliée au Canada ou aux États-Unis pourrait invoquer une violation en vertu du «traitement juste et équitable» ou de «l’expropriation indirecte» lorsque les collectivités locales prennent des mesures limitant potentiellement ses profits.</w:t>
      </w:r>
      <w:r w:rsidRPr="00BC6E89">
        <w:rPr>
          <w:rFonts w:ascii="Verdana" w:hAnsi="Verdana"/>
          <w:i/>
          <w:sz w:val="22"/>
          <w:szCs w:val="22"/>
          <w:lang w:val="fr-FR"/>
        </w:rPr>
        <w:br/>
        <w:t>Cette option peut aussi e</w:t>
      </w:r>
      <w:r w:rsidRPr="00BC6E89">
        <w:rPr>
          <w:rFonts w:ascii="Calibri" w:eastAsia="Calibri" w:hAnsi="Calibri" w:cs="Calibri"/>
          <w:i/>
          <w:sz w:val="22"/>
          <w:szCs w:val="22"/>
          <w:lang w:val="fr-FR"/>
        </w:rPr>
        <w:t>̂</w:t>
      </w:r>
      <w:r w:rsidRPr="00BC6E89">
        <w:rPr>
          <w:rFonts w:ascii="Verdana" w:hAnsi="Verdana"/>
          <w:i/>
          <w:sz w:val="22"/>
          <w:szCs w:val="22"/>
          <w:lang w:val="fr-FR"/>
        </w:rPr>
        <w:t>tre exercée par les multinationales européennes établies dans les marchés nord-américains. Par exemple, les multinationales françaises Suez et Veolia, très présentes dans le secteur municipal des déchets et de l’eau, ont des filiales au Canada et aux États-Unis. Veolia est membre du Groupe consultatif et de soutien des entreprises de BusinessEurope, l’organisation fa</w:t>
      </w:r>
      <w:r w:rsidRPr="00BC6E89">
        <w:rPr>
          <w:rFonts w:ascii="Verdana" w:eastAsia="Calibri" w:hAnsi="Verdana" w:cs="Calibri"/>
          <w:i/>
          <w:sz w:val="22"/>
          <w:szCs w:val="22"/>
          <w:lang w:val="fr-FR"/>
        </w:rPr>
        <w:t>i</w:t>
      </w:r>
      <w:r w:rsidRPr="00BC6E89">
        <w:rPr>
          <w:rFonts w:ascii="Calibri" w:eastAsia="Calibri" w:hAnsi="Calibri" w:cs="Calibri"/>
          <w:i/>
          <w:sz w:val="22"/>
          <w:szCs w:val="22"/>
          <w:lang w:val="fr-FR"/>
        </w:rPr>
        <w:t>̂</w:t>
      </w:r>
      <w:r w:rsidRPr="00BC6E89">
        <w:rPr>
          <w:rFonts w:ascii="Verdana" w:hAnsi="Verdana"/>
          <w:i/>
          <w:sz w:val="22"/>
          <w:szCs w:val="22"/>
          <w:lang w:val="fr-FR"/>
        </w:rPr>
        <w:t>tière de l’industrie européenne plaidant farouchement en faveur du TTIP et contre l’exclusion des services publics.</w:t>
      </w:r>
      <w:r w:rsidRPr="00BC6E89">
        <w:rPr>
          <w:rFonts w:ascii="Verdana" w:hAnsi="Verdana"/>
          <w:i/>
          <w:sz w:val="22"/>
          <w:szCs w:val="22"/>
          <w:vertAlign w:val="superscript"/>
          <w:lang w:val="fr-FR"/>
        </w:rPr>
        <w:footnoteReference w:id="63"/>
      </w:r>
      <w:r w:rsidRPr="00BC6E89">
        <w:rPr>
          <w:rFonts w:ascii="Verdana" w:hAnsi="Verdana"/>
          <w:sz w:val="22"/>
          <w:szCs w:val="22"/>
          <w:lang w:val="fr-FR"/>
        </w:rPr>
        <w:t xml:space="preserve"> </w:t>
      </w:r>
    </w:p>
    <w:p w14:paraId="6AA69D67" w14:textId="77777777" w:rsidR="005D59AC" w:rsidRPr="00BC6E89" w:rsidRDefault="005D59AC" w:rsidP="005D59AC">
      <w:pPr>
        <w:rPr>
          <w:rFonts w:ascii="Verdana" w:hAnsi="Verdana"/>
          <w:sz w:val="22"/>
          <w:szCs w:val="22"/>
          <w:lang w:val="fr-FR"/>
        </w:rPr>
      </w:pPr>
    </w:p>
    <w:p w14:paraId="14F15662" w14:textId="77777777" w:rsidR="005D59AC" w:rsidRPr="00BC6E89" w:rsidRDefault="005D59AC" w:rsidP="005D59AC">
      <w:pPr>
        <w:rPr>
          <w:rFonts w:ascii="Verdana" w:hAnsi="Verdana"/>
          <w:sz w:val="22"/>
          <w:szCs w:val="22"/>
        </w:rPr>
      </w:pPr>
      <w:r w:rsidRPr="00BC6E89">
        <w:rPr>
          <w:rFonts w:ascii="Verdana" w:hAnsi="Verdana"/>
          <w:sz w:val="22"/>
          <w:szCs w:val="22"/>
          <w:lang w:val="fr-FR"/>
        </w:rPr>
        <w:t>Par exemple l’entreprise United Utilities a attaqué l’Estonie en 2014 car elle a refusé une augmentation du prix de l’eau, dont la distribution avait été partiellement privatisée. L’entreprise réclame 90 millions d’Euros au titre des pertes de profits estimés jusque 2020.</w:t>
      </w:r>
      <w:r w:rsidRPr="00BC6E89">
        <w:rPr>
          <w:rFonts w:ascii="Verdana" w:hAnsi="Verdana"/>
          <w:sz w:val="22"/>
          <w:szCs w:val="22"/>
          <w:vertAlign w:val="superscript"/>
          <w:lang w:val="fr-FR"/>
        </w:rPr>
        <w:footnoteReference w:id="64"/>
      </w:r>
    </w:p>
    <w:p w14:paraId="151E89C3" w14:textId="0B0CAFFF" w:rsidR="005D59AC" w:rsidRPr="00BC6E89" w:rsidRDefault="005D59AC" w:rsidP="005D59AC">
      <w:pPr>
        <w:rPr>
          <w:rFonts w:ascii="Verdana" w:hAnsi="Verdana"/>
          <w:sz w:val="22"/>
          <w:szCs w:val="22"/>
        </w:rPr>
      </w:pPr>
    </w:p>
    <w:p w14:paraId="76F7A269" w14:textId="77777777" w:rsidR="005D59AC" w:rsidRPr="00BC6E89" w:rsidRDefault="005D59AC" w:rsidP="005D59AC">
      <w:pPr>
        <w:rPr>
          <w:rFonts w:ascii="Verdana" w:hAnsi="Verdana"/>
          <w:b/>
          <w:sz w:val="22"/>
          <w:szCs w:val="22"/>
        </w:rPr>
      </w:pPr>
    </w:p>
    <w:p w14:paraId="2044A166" w14:textId="020654D5" w:rsidR="00421E0A" w:rsidRPr="00BC6E89" w:rsidRDefault="006B0297" w:rsidP="001A04C5">
      <w:pPr>
        <w:pStyle w:val="Titre1"/>
        <w:numPr>
          <w:ilvl w:val="0"/>
          <w:numId w:val="3"/>
        </w:numPr>
      </w:pPr>
      <w:bookmarkStart w:id="20" w:name="_Toc463603277"/>
      <w:r w:rsidRPr="00BC6E89">
        <w:t>Marché publics</w:t>
      </w:r>
      <w:bookmarkEnd w:id="20"/>
    </w:p>
    <w:p w14:paraId="47F124E1" w14:textId="77777777" w:rsidR="006B0297" w:rsidRPr="00BC6E89" w:rsidRDefault="006B0297" w:rsidP="006B0297">
      <w:pPr>
        <w:rPr>
          <w:rFonts w:ascii="Verdana" w:hAnsi="Verdana"/>
          <w:b/>
          <w:sz w:val="22"/>
          <w:szCs w:val="22"/>
        </w:rPr>
      </w:pPr>
    </w:p>
    <w:p w14:paraId="31DE9741" w14:textId="6F98826C" w:rsidR="006B0297" w:rsidRPr="00BC6E89" w:rsidRDefault="005D59AC" w:rsidP="006B0297">
      <w:pPr>
        <w:rPr>
          <w:rFonts w:ascii="Verdana" w:hAnsi="Verdana"/>
          <w:color w:val="000000" w:themeColor="text1"/>
          <w:sz w:val="22"/>
          <w:szCs w:val="22"/>
          <w:lang w:val="fr-FR"/>
        </w:rPr>
      </w:pPr>
      <w:r w:rsidRPr="00BC6E89">
        <w:rPr>
          <w:rFonts w:ascii="Verdana" w:hAnsi="Verdana"/>
          <w:sz w:val="22"/>
          <w:szCs w:val="22"/>
        </w:rPr>
        <w:t>On peut relever ici une f</w:t>
      </w:r>
      <w:r w:rsidR="006B0297" w:rsidRPr="00BC6E89">
        <w:rPr>
          <w:rFonts w:ascii="Verdana" w:hAnsi="Verdana"/>
          <w:sz w:val="22"/>
          <w:szCs w:val="22"/>
        </w:rPr>
        <w:t xml:space="preserve">ormulation intéressante et </w:t>
      </w:r>
      <w:r w:rsidRPr="00BC6E89">
        <w:rPr>
          <w:rFonts w:ascii="Verdana" w:hAnsi="Verdana"/>
          <w:sz w:val="22"/>
          <w:szCs w:val="22"/>
        </w:rPr>
        <w:t>partiellement utile si elle était intégrée à un protocole intégré au traité, mais sans effet dans une simple déclaration d’interprétation,</w:t>
      </w:r>
      <w:r w:rsidR="006B0297" w:rsidRPr="00BC6E89">
        <w:rPr>
          <w:rFonts w:ascii="Verdana" w:hAnsi="Verdana"/>
          <w:sz w:val="22"/>
          <w:szCs w:val="22"/>
        </w:rPr>
        <w:t xml:space="preserve"> s’il est clarifié que cette affirmation supplante les dispositions prévues dans le CETA qui contredisent cette affirmation. </w:t>
      </w:r>
      <w:r w:rsidRPr="00BC6E89">
        <w:rPr>
          <w:rFonts w:ascii="Verdana" w:hAnsi="Verdana"/>
          <w:sz w:val="22"/>
          <w:szCs w:val="22"/>
        </w:rPr>
        <w:t xml:space="preserve">Par exemple </w:t>
      </w:r>
      <w:r w:rsidR="006B0297" w:rsidRPr="00BC6E89">
        <w:rPr>
          <w:rFonts w:ascii="Verdana" w:hAnsi="Verdana"/>
          <w:sz w:val="22"/>
          <w:szCs w:val="22"/>
        </w:rPr>
        <w:t xml:space="preserve">: </w:t>
      </w:r>
      <w:r w:rsidR="006B0297" w:rsidRPr="00BC6E89">
        <w:rPr>
          <w:rFonts w:ascii="Verdana" w:hAnsi="Verdana"/>
          <w:color w:val="000000" w:themeColor="text1"/>
          <w:sz w:val="22"/>
          <w:szCs w:val="22"/>
          <w:lang w:val="fr-FR"/>
        </w:rPr>
        <w:t xml:space="preserve">Le chapitre 19 du CETA vise notamment à ouvrir les marchés publics à la concurrence internationale et interdit la pratique de « l’offset », défini comme </w:t>
      </w:r>
      <w:r w:rsidR="006B0297" w:rsidRPr="00BC6E89">
        <w:rPr>
          <w:rFonts w:ascii="Verdana" w:hAnsi="Verdana"/>
          <w:i/>
          <w:color w:val="000000" w:themeColor="text1"/>
          <w:sz w:val="22"/>
          <w:szCs w:val="22"/>
          <w:lang w:val="fr-FR"/>
        </w:rPr>
        <w:t>des conditions visant à encourager le développement local.</w:t>
      </w:r>
      <w:r w:rsidR="006B0297" w:rsidRPr="00BC6E89">
        <w:rPr>
          <w:rStyle w:val="Appelnotedebasdep"/>
          <w:rFonts w:ascii="Verdana" w:hAnsi="Verdana"/>
          <w:i/>
          <w:color w:val="000000" w:themeColor="text1"/>
          <w:sz w:val="22"/>
          <w:szCs w:val="22"/>
          <w:lang w:val="fr-FR"/>
        </w:rPr>
        <w:footnoteReference w:id="65"/>
      </w:r>
      <w:r w:rsidR="006B0297" w:rsidRPr="00BC6E89">
        <w:rPr>
          <w:rFonts w:ascii="Verdana" w:hAnsi="Verdana"/>
          <w:color w:val="000000" w:themeColor="text1"/>
          <w:sz w:val="22"/>
          <w:szCs w:val="22"/>
          <w:lang w:val="fr-FR"/>
        </w:rPr>
        <w:t xml:space="preserve"> Dans quelle mesure cette exigence va-t-elle à l’encontre de politiques de marchés publics utiles à l’intérêt </w:t>
      </w:r>
      <w:r w:rsidR="006B0297" w:rsidRPr="00BC6E89">
        <w:rPr>
          <w:rFonts w:ascii="Verdana" w:hAnsi="Verdana"/>
          <w:color w:val="000000" w:themeColor="text1"/>
          <w:sz w:val="22"/>
          <w:szCs w:val="22"/>
          <w:lang w:val="fr-FR"/>
        </w:rPr>
        <w:lastRenderedPageBreak/>
        <w:t>général et dépassant le simple critère de prix, voilà une question essentielle qui nécessite également une réponse claire avant toute décision.</w:t>
      </w:r>
    </w:p>
    <w:p w14:paraId="435D58D4" w14:textId="77777777" w:rsidR="006B0297" w:rsidRPr="00BC6E89" w:rsidRDefault="006B0297" w:rsidP="006B0297">
      <w:pPr>
        <w:rPr>
          <w:rFonts w:ascii="Verdana" w:hAnsi="Verdana"/>
          <w:color w:val="000000" w:themeColor="text1"/>
          <w:sz w:val="22"/>
          <w:szCs w:val="22"/>
          <w:lang w:val="fr-FR"/>
        </w:rPr>
      </w:pPr>
    </w:p>
    <w:p w14:paraId="6F258A0A" w14:textId="77777777" w:rsidR="006B0297" w:rsidRPr="00BC6E89" w:rsidRDefault="006B0297" w:rsidP="006B0297">
      <w:pPr>
        <w:rPr>
          <w:rFonts w:ascii="Verdana" w:hAnsi="Verdana"/>
          <w:color w:val="000000" w:themeColor="text1"/>
          <w:sz w:val="22"/>
          <w:szCs w:val="22"/>
          <w:lang w:val="fr-FR"/>
        </w:rPr>
      </w:pPr>
      <w:r w:rsidRPr="00BC6E89">
        <w:rPr>
          <w:rFonts w:ascii="Verdana" w:hAnsi="Verdana"/>
          <w:color w:val="000000" w:themeColor="text1"/>
          <w:sz w:val="22"/>
          <w:szCs w:val="22"/>
          <w:lang w:val="fr-FR"/>
        </w:rPr>
        <w:t>Couverture sectorielle : les annexes au chapitre 19 précisent quelles entités publiques et quels secteurs sont concernés par l’ouverture des marchés publics</w:t>
      </w:r>
      <w:r w:rsidRPr="00BC6E89">
        <w:rPr>
          <w:rStyle w:val="Appelnotedebasdep"/>
          <w:rFonts w:ascii="Verdana" w:hAnsi="Verdana"/>
          <w:color w:val="000000" w:themeColor="text1"/>
          <w:sz w:val="22"/>
          <w:szCs w:val="22"/>
          <w:lang w:val="fr-FR"/>
        </w:rPr>
        <w:footnoteReference w:id="66"/>
      </w:r>
      <w:r w:rsidRPr="00BC6E89">
        <w:rPr>
          <w:rFonts w:ascii="Verdana" w:hAnsi="Verdana"/>
          <w:color w:val="000000" w:themeColor="text1"/>
          <w:sz w:val="22"/>
          <w:szCs w:val="22"/>
          <w:lang w:val="fr-FR"/>
        </w:rPr>
        <w:t>. Pour la fourniture de biens, tous les types de biens sont concernés sauf ceux qui sont repris dans une liste d’exceptions. Concernant la fourniture de services aux autorités publiques, c’est une approche de liste positive</w:t>
      </w:r>
      <w:r w:rsidRPr="00BC6E89">
        <w:rPr>
          <w:rStyle w:val="Appelnotedebasdep"/>
          <w:rFonts w:ascii="Verdana" w:hAnsi="Verdana"/>
          <w:color w:val="000000" w:themeColor="text1"/>
          <w:sz w:val="22"/>
          <w:szCs w:val="22"/>
          <w:lang w:val="fr-FR"/>
        </w:rPr>
        <w:footnoteReference w:id="67"/>
      </w:r>
      <w:r w:rsidRPr="00BC6E89">
        <w:rPr>
          <w:rFonts w:ascii="Verdana" w:hAnsi="Verdana"/>
          <w:color w:val="000000" w:themeColor="text1"/>
          <w:sz w:val="22"/>
          <w:szCs w:val="22"/>
          <w:lang w:val="fr-FR"/>
        </w:rPr>
        <w:t xml:space="preserve"> qui est adoptée. </w:t>
      </w:r>
    </w:p>
    <w:p w14:paraId="1A9635A8" w14:textId="77777777" w:rsidR="003C25F6" w:rsidRPr="00BC6E89" w:rsidRDefault="003C25F6" w:rsidP="006B0297">
      <w:pPr>
        <w:rPr>
          <w:rFonts w:ascii="Verdana" w:hAnsi="Verdana"/>
          <w:color w:val="000000" w:themeColor="text1"/>
          <w:sz w:val="22"/>
          <w:szCs w:val="22"/>
          <w:lang w:val="fr-FR"/>
        </w:rPr>
      </w:pPr>
    </w:p>
    <w:p w14:paraId="52AAA754" w14:textId="48D064DE" w:rsidR="003C25F6" w:rsidRPr="00BC6E89" w:rsidRDefault="003C25F6" w:rsidP="006B0297">
      <w:pPr>
        <w:rPr>
          <w:rFonts w:ascii="Verdana" w:hAnsi="Verdana"/>
          <w:color w:val="000000" w:themeColor="text1"/>
          <w:sz w:val="22"/>
          <w:szCs w:val="22"/>
          <w:lang w:val="fr-FR"/>
        </w:rPr>
      </w:pPr>
      <w:r w:rsidRPr="00BC6E89">
        <w:rPr>
          <w:rFonts w:ascii="Verdana" w:hAnsi="Verdana"/>
          <w:color w:val="000000" w:themeColor="text1"/>
          <w:sz w:val="22"/>
          <w:szCs w:val="22"/>
          <w:lang w:val="fr-FR"/>
        </w:rPr>
        <w:t>Mais la formulation proposée</w:t>
      </w:r>
      <w:r w:rsidR="005D59AC" w:rsidRPr="00BC6E89">
        <w:rPr>
          <w:rFonts w:ascii="Verdana" w:hAnsi="Verdana"/>
          <w:color w:val="000000" w:themeColor="text1"/>
          <w:sz w:val="22"/>
          <w:szCs w:val="22"/>
          <w:lang w:val="fr-FR"/>
        </w:rPr>
        <w:t xml:space="preserve"> dans la déclaration</w:t>
      </w:r>
      <w:r w:rsidRPr="00BC6E89">
        <w:rPr>
          <w:rFonts w:ascii="Verdana" w:hAnsi="Verdana"/>
          <w:color w:val="000000" w:themeColor="text1"/>
          <w:sz w:val="22"/>
          <w:szCs w:val="22"/>
          <w:lang w:val="fr-FR"/>
        </w:rPr>
        <w:t xml:space="preserve"> pose tout de même un problème : l’exigence de critères « non-discriminants » empêchera-t-il une autorité démocratique de choisir pour la cantine de son école de privilégier une alimentation saine, de saison et locale ? Le fait de privilégier la fraîcheur des aliments et leur production dans un rayon de provenance limité pourrait être interprété comme un discrimination de facto par rapport à un prestataire ou un fournisseur étranger outre-Atlantique. En l’état, la formulation proposée n’est donc pas de nature à répondre aux préoccupations. </w:t>
      </w:r>
    </w:p>
    <w:p w14:paraId="747D0A62" w14:textId="77777777" w:rsidR="0024098C" w:rsidRPr="00BC6E89" w:rsidRDefault="0024098C" w:rsidP="006B0297">
      <w:pPr>
        <w:rPr>
          <w:rFonts w:ascii="Verdana" w:hAnsi="Verdana"/>
          <w:color w:val="000000" w:themeColor="text1"/>
          <w:sz w:val="22"/>
          <w:szCs w:val="22"/>
          <w:lang w:val="fr-FR"/>
        </w:rPr>
      </w:pPr>
    </w:p>
    <w:p w14:paraId="7C0459BE" w14:textId="6B6E172C" w:rsidR="0024098C" w:rsidRPr="00BC6E89" w:rsidRDefault="0024098C" w:rsidP="006B0297">
      <w:pPr>
        <w:rPr>
          <w:rFonts w:ascii="Verdana" w:hAnsi="Verdana"/>
          <w:color w:val="000000" w:themeColor="text1"/>
          <w:sz w:val="22"/>
          <w:szCs w:val="22"/>
          <w:lang w:val="fr-FR"/>
        </w:rPr>
      </w:pPr>
      <w:r w:rsidRPr="00BC6E89">
        <w:rPr>
          <w:rFonts w:ascii="Verdana" w:hAnsi="Verdana"/>
          <w:color w:val="000000" w:themeColor="text1"/>
          <w:sz w:val="22"/>
          <w:szCs w:val="22"/>
          <w:lang w:val="fr-FR"/>
        </w:rPr>
        <w:t>Ici encore le langage proposé dans les protocoles CLC-DGB semble a première vue plus à même de préserver entièrement la marge de manœuvre des autorités. Ce langage inclut :</w:t>
      </w:r>
    </w:p>
    <w:p w14:paraId="5B969523" w14:textId="77777777" w:rsidR="0024098C" w:rsidRPr="00BC6E89" w:rsidRDefault="0024098C" w:rsidP="006B0297">
      <w:pPr>
        <w:rPr>
          <w:rFonts w:ascii="Verdana" w:hAnsi="Verdana"/>
          <w:color w:val="000000" w:themeColor="text1"/>
          <w:sz w:val="22"/>
          <w:szCs w:val="22"/>
          <w:lang w:val="fr-FR"/>
        </w:rPr>
      </w:pPr>
    </w:p>
    <w:p w14:paraId="56F2EA31" w14:textId="33A93800" w:rsidR="0024098C" w:rsidRPr="00BC6E89" w:rsidRDefault="0024098C" w:rsidP="006B0297">
      <w:pPr>
        <w:rPr>
          <w:rFonts w:ascii="Verdana" w:hAnsi="Verdana"/>
          <w:i/>
          <w:sz w:val="22"/>
          <w:szCs w:val="22"/>
        </w:rPr>
      </w:pPr>
      <w:r w:rsidRPr="00BC6E89">
        <w:rPr>
          <w:rFonts w:ascii="Verdana" w:hAnsi="Verdana"/>
          <w:i/>
          <w:sz w:val="22"/>
          <w:szCs w:val="22"/>
        </w:rPr>
        <w:t>With regards to public procurement, nothing in the agreement limits contracting authorities on central and sub-central level in laying down special conditions relating to the performance of a contract, provided the conditions are linked to the subject matter of the contract and indicated in the call for competition or in the procurement documents. Those conditions may include economic, innovation-related, environmental, social or employment-related considerations and the obligation to comply with and adhere to collective agreements.</w:t>
      </w:r>
    </w:p>
    <w:p w14:paraId="7DF81E96" w14:textId="77777777" w:rsidR="0024098C" w:rsidRPr="00BC6E89" w:rsidRDefault="0024098C" w:rsidP="006B0297">
      <w:pPr>
        <w:rPr>
          <w:rFonts w:ascii="Verdana" w:hAnsi="Verdana"/>
          <w:i/>
          <w:sz w:val="22"/>
          <w:szCs w:val="22"/>
        </w:rPr>
      </w:pPr>
    </w:p>
    <w:p w14:paraId="6235BA99" w14:textId="424472BF" w:rsidR="0024098C" w:rsidRPr="00BC6E89" w:rsidRDefault="0024098C" w:rsidP="006B0297">
      <w:pPr>
        <w:rPr>
          <w:rFonts w:ascii="Verdana" w:hAnsi="Verdana"/>
          <w:i/>
          <w:color w:val="000000" w:themeColor="text1"/>
          <w:sz w:val="22"/>
          <w:szCs w:val="22"/>
          <w:u w:val="single"/>
          <w:lang w:val="fr-FR"/>
        </w:rPr>
      </w:pPr>
      <w:r w:rsidRPr="00BC6E89">
        <w:rPr>
          <w:rFonts w:ascii="Verdana" w:hAnsi="Verdana"/>
          <w:i/>
          <w:sz w:val="22"/>
          <w:szCs w:val="22"/>
        </w:rPr>
        <w:t>This Understanding constitutes an integral part of the Agreement.</w:t>
      </w:r>
    </w:p>
    <w:p w14:paraId="56898176" w14:textId="0ED432FB" w:rsidR="006B0297" w:rsidRPr="00BC6E89" w:rsidRDefault="006B0297" w:rsidP="006B0297">
      <w:pPr>
        <w:rPr>
          <w:rFonts w:ascii="Verdana" w:hAnsi="Verdana"/>
          <w:sz w:val="22"/>
          <w:szCs w:val="22"/>
        </w:rPr>
      </w:pPr>
    </w:p>
    <w:p w14:paraId="797BE014" w14:textId="20504B17" w:rsidR="0024098C" w:rsidRPr="00BC6E89" w:rsidRDefault="0024098C" w:rsidP="001A04C5">
      <w:pPr>
        <w:pStyle w:val="Titre"/>
      </w:pPr>
      <w:bookmarkStart w:id="21" w:name="_Toc463603278"/>
      <w:r w:rsidRPr="00BC6E89">
        <w:t>Conclusions</w:t>
      </w:r>
      <w:bookmarkEnd w:id="21"/>
    </w:p>
    <w:p w14:paraId="435D7384" w14:textId="77777777" w:rsidR="0024098C" w:rsidRPr="00BC6E89" w:rsidRDefault="0024098C" w:rsidP="006B0297">
      <w:pPr>
        <w:rPr>
          <w:rFonts w:ascii="Verdana" w:hAnsi="Verdana"/>
          <w:b/>
          <w:sz w:val="22"/>
          <w:szCs w:val="22"/>
        </w:rPr>
      </w:pPr>
    </w:p>
    <w:p w14:paraId="732577B3" w14:textId="1170A5E2" w:rsidR="0024098C" w:rsidRPr="00BC6E89" w:rsidRDefault="0024098C" w:rsidP="006B0297">
      <w:pPr>
        <w:rPr>
          <w:rFonts w:ascii="Verdana" w:hAnsi="Verdana"/>
          <w:sz w:val="22"/>
          <w:szCs w:val="22"/>
        </w:rPr>
      </w:pPr>
      <w:r w:rsidRPr="00BC6E89">
        <w:rPr>
          <w:rFonts w:ascii="Verdana" w:hAnsi="Verdana"/>
          <w:sz w:val="22"/>
          <w:szCs w:val="22"/>
        </w:rPr>
        <w:t>Les point</w:t>
      </w:r>
      <w:r w:rsidR="005D59AC" w:rsidRPr="00BC6E89">
        <w:rPr>
          <w:rFonts w:ascii="Verdana" w:hAnsi="Verdana"/>
          <w:sz w:val="22"/>
          <w:szCs w:val="22"/>
        </w:rPr>
        <w:t>s</w:t>
      </w:r>
      <w:r w:rsidRPr="00BC6E89">
        <w:rPr>
          <w:rFonts w:ascii="Verdana" w:hAnsi="Verdana"/>
          <w:sz w:val="22"/>
          <w:szCs w:val="22"/>
        </w:rPr>
        <w:t xml:space="preserve"> proposés ne semblent </w:t>
      </w:r>
      <w:r w:rsidR="005D59AC" w:rsidRPr="00BC6E89">
        <w:rPr>
          <w:rFonts w:ascii="Verdana" w:hAnsi="Verdana"/>
          <w:sz w:val="22"/>
          <w:szCs w:val="22"/>
        </w:rPr>
        <w:t xml:space="preserve">pas </w:t>
      </w:r>
      <w:r w:rsidRPr="00BC6E89">
        <w:rPr>
          <w:rFonts w:ascii="Verdana" w:hAnsi="Verdana"/>
          <w:sz w:val="22"/>
          <w:szCs w:val="22"/>
        </w:rPr>
        <w:t>à même de répondre à nos préoccupations et à celles de la société civile</w:t>
      </w:r>
      <w:r w:rsidR="005D59AC" w:rsidRPr="00BC6E89">
        <w:rPr>
          <w:rFonts w:ascii="Verdana" w:hAnsi="Verdana"/>
          <w:sz w:val="22"/>
          <w:szCs w:val="22"/>
        </w:rPr>
        <w:t xml:space="preserve">. </w:t>
      </w:r>
      <w:r w:rsidR="00851F90" w:rsidRPr="00BC6E89">
        <w:rPr>
          <w:rFonts w:ascii="Verdana" w:hAnsi="Verdana"/>
          <w:sz w:val="22"/>
          <w:szCs w:val="22"/>
        </w:rPr>
        <w:t>S’il lui</w:t>
      </w:r>
      <w:r w:rsidRPr="00BC6E89">
        <w:rPr>
          <w:rFonts w:ascii="Verdana" w:hAnsi="Verdana"/>
          <w:sz w:val="22"/>
          <w:szCs w:val="22"/>
        </w:rPr>
        <w:t xml:space="preserve"> </w:t>
      </w:r>
      <w:r w:rsidR="00851F90" w:rsidRPr="00BC6E89">
        <w:rPr>
          <w:rFonts w:ascii="Verdana" w:hAnsi="Verdana"/>
          <w:sz w:val="22"/>
          <w:szCs w:val="22"/>
        </w:rPr>
        <w:t>était donné davantage de force d’application légale et que les formulations suggérées ci-dessus étaient introduites, une partie des préoccupations pourrait être rencontrées.</w:t>
      </w:r>
    </w:p>
    <w:p w14:paraId="34780C75" w14:textId="77777777" w:rsidR="0024098C" w:rsidRPr="00BC6E89" w:rsidRDefault="0024098C" w:rsidP="006B0297">
      <w:pPr>
        <w:rPr>
          <w:rFonts w:ascii="Verdana" w:hAnsi="Verdana"/>
          <w:sz w:val="22"/>
          <w:szCs w:val="22"/>
        </w:rPr>
      </w:pPr>
    </w:p>
    <w:p w14:paraId="3ACDB5AE" w14:textId="35BE07E0" w:rsidR="0024098C" w:rsidRPr="00BC6E89" w:rsidRDefault="0024098C" w:rsidP="006B0297">
      <w:pPr>
        <w:rPr>
          <w:rFonts w:ascii="Verdana" w:hAnsi="Verdana"/>
          <w:sz w:val="22"/>
          <w:szCs w:val="22"/>
        </w:rPr>
      </w:pPr>
      <w:r w:rsidRPr="00BC6E89">
        <w:rPr>
          <w:rFonts w:ascii="Verdana" w:hAnsi="Verdana"/>
          <w:sz w:val="22"/>
          <w:szCs w:val="22"/>
        </w:rPr>
        <w:t>De nombreux points de préoccupation exprimés par la société civile notamment ici :</w:t>
      </w:r>
      <w:r w:rsidR="00B66F88">
        <w:rPr>
          <w:rFonts w:ascii="Verdana" w:hAnsi="Verdana"/>
          <w:sz w:val="22"/>
          <w:szCs w:val="22"/>
        </w:rPr>
        <w:t xml:space="preserve"> </w:t>
      </w:r>
      <w:hyperlink r:id="rId18" w:history="1">
        <w:r w:rsidR="00B66F88" w:rsidRPr="000C5F04">
          <w:rPr>
            <w:rStyle w:val="Lienhypertexte"/>
            <w:rFonts w:ascii="Verdana" w:hAnsi="Verdana"/>
            <w:sz w:val="22"/>
            <w:szCs w:val="22"/>
          </w:rPr>
          <w:t>Déclaration commune sur CETA et TTIP</w:t>
        </w:r>
      </w:hyperlink>
      <w:r w:rsidR="000C5F04">
        <w:rPr>
          <w:rStyle w:val="Appelnotedebasdep"/>
          <w:rFonts w:ascii="Verdana" w:hAnsi="Verdana"/>
          <w:sz w:val="22"/>
          <w:szCs w:val="22"/>
        </w:rPr>
        <w:footnoteReference w:id="68"/>
      </w:r>
      <w:r w:rsidR="00B66F88">
        <w:rPr>
          <w:rFonts w:ascii="Verdana" w:hAnsi="Verdana"/>
          <w:sz w:val="22"/>
          <w:szCs w:val="22"/>
        </w:rPr>
        <w:t>,</w:t>
      </w:r>
      <w:r w:rsidRPr="00BC6E89">
        <w:rPr>
          <w:rFonts w:ascii="Verdana" w:hAnsi="Verdana"/>
          <w:sz w:val="22"/>
          <w:szCs w:val="22"/>
        </w:rPr>
        <w:t xml:space="preserve"> </w:t>
      </w:r>
      <w:hyperlink r:id="rId19" w:history="1">
        <w:r w:rsidRPr="00BC6E89">
          <w:rPr>
            <w:rStyle w:val="Lienhypertexte"/>
            <w:rFonts w:ascii="Verdana" w:hAnsi="Verdana"/>
            <w:sz w:val="22"/>
            <w:szCs w:val="22"/>
          </w:rPr>
          <w:t>6 notes d’analyse approfondies thématiques du CETA</w:t>
        </w:r>
      </w:hyperlink>
      <w:r w:rsidR="000C5F04">
        <w:rPr>
          <w:rStyle w:val="Appelnotedebasdep"/>
          <w:rFonts w:ascii="Verdana" w:hAnsi="Verdana"/>
          <w:color w:val="0563C1" w:themeColor="hyperlink"/>
          <w:sz w:val="22"/>
          <w:szCs w:val="22"/>
          <w:u w:val="single"/>
        </w:rPr>
        <w:footnoteReference w:id="69"/>
      </w:r>
      <w:r w:rsidRPr="00BC6E89">
        <w:rPr>
          <w:rFonts w:ascii="Verdana" w:hAnsi="Verdana"/>
          <w:sz w:val="22"/>
          <w:szCs w:val="22"/>
        </w:rPr>
        <w:t xml:space="preserve"> ; et ici : </w:t>
      </w:r>
      <w:hyperlink r:id="rId20" w:history="1">
        <w:r w:rsidRPr="00BC6E89">
          <w:rPr>
            <w:rStyle w:val="Lienhypertexte"/>
            <w:rFonts w:ascii="Verdana" w:hAnsi="Verdana"/>
            <w:sz w:val="22"/>
            <w:szCs w:val="22"/>
          </w:rPr>
          <w:t xml:space="preserve">Making sense of CETA – analyse approfondie du </w:t>
        </w:r>
        <w:r w:rsidRPr="00BC6E89">
          <w:rPr>
            <w:rStyle w:val="Lienhypertexte"/>
            <w:rFonts w:ascii="Verdana" w:hAnsi="Verdana"/>
            <w:sz w:val="22"/>
            <w:szCs w:val="22"/>
          </w:rPr>
          <w:lastRenderedPageBreak/>
          <w:t>CETA (84 p.)</w:t>
        </w:r>
      </w:hyperlink>
      <w:r w:rsidR="000C5F04">
        <w:rPr>
          <w:rStyle w:val="Appelnotedebasdep"/>
          <w:rFonts w:ascii="Verdana" w:hAnsi="Verdana"/>
          <w:color w:val="0563C1" w:themeColor="hyperlink"/>
          <w:sz w:val="22"/>
          <w:szCs w:val="22"/>
          <w:u w:val="single"/>
        </w:rPr>
        <w:footnoteReference w:id="70"/>
      </w:r>
      <w:r w:rsidRPr="00BC6E89">
        <w:rPr>
          <w:rFonts w:ascii="Verdana" w:hAnsi="Verdana"/>
          <w:sz w:val="22"/>
          <w:szCs w:val="22"/>
        </w:rPr>
        <w:t xml:space="preserve"> ne trouvent aucune réponse satisfaisante dans l’esquisse de déclaration annoncée. </w:t>
      </w:r>
    </w:p>
    <w:p w14:paraId="597DF307" w14:textId="77777777" w:rsidR="0024098C" w:rsidRPr="00BC6E89" w:rsidRDefault="0024098C" w:rsidP="006B0297">
      <w:pPr>
        <w:rPr>
          <w:rFonts w:ascii="Verdana" w:hAnsi="Verdana"/>
          <w:sz w:val="22"/>
          <w:szCs w:val="22"/>
        </w:rPr>
      </w:pPr>
    </w:p>
    <w:p w14:paraId="0FCCF54A" w14:textId="15322AF0" w:rsidR="0024098C" w:rsidRPr="00BC6E89" w:rsidRDefault="0024098C" w:rsidP="006B0297">
      <w:pPr>
        <w:rPr>
          <w:rFonts w:ascii="Verdana" w:hAnsi="Verdana"/>
          <w:sz w:val="22"/>
          <w:szCs w:val="22"/>
        </w:rPr>
      </w:pPr>
      <w:r w:rsidRPr="00BC6E89">
        <w:rPr>
          <w:rFonts w:ascii="Verdana" w:hAnsi="Verdana"/>
          <w:sz w:val="22"/>
          <w:szCs w:val="22"/>
        </w:rPr>
        <w:t xml:space="preserve">Si les niveaux de pouvoir qui défendent le CETA souhaitent sérieusement le voir aboutir un jour il est indispensable de revoir le calendrier, de reporter la signature prévue pour octobre </w:t>
      </w:r>
      <w:r w:rsidR="00FA6FB1" w:rsidRPr="00BC6E89">
        <w:rPr>
          <w:rFonts w:ascii="Verdana" w:hAnsi="Verdana"/>
          <w:sz w:val="22"/>
          <w:szCs w:val="22"/>
        </w:rPr>
        <w:t xml:space="preserve">à plus tard </w:t>
      </w:r>
      <w:r w:rsidRPr="00BC6E89">
        <w:rPr>
          <w:rFonts w:ascii="Verdana" w:hAnsi="Verdana"/>
          <w:sz w:val="22"/>
          <w:szCs w:val="22"/>
        </w:rPr>
        <w:t>et de prendre le temps de répondre de manière convaincante à chaque point de manquement et de risque pour notre démocratie, notre santé et nos emplois qui ont été identifiés.</w:t>
      </w:r>
    </w:p>
    <w:sectPr w:rsidR="0024098C" w:rsidRPr="00BC6E89" w:rsidSect="002834DD">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C642D" w14:textId="77777777" w:rsidR="00194533" w:rsidRDefault="00194533" w:rsidP="00421E0A">
      <w:r>
        <w:separator/>
      </w:r>
    </w:p>
  </w:endnote>
  <w:endnote w:type="continuationSeparator" w:id="0">
    <w:p w14:paraId="77AD81CC" w14:textId="77777777" w:rsidR="00194533" w:rsidRDefault="00194533" w:rsidP="0042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9F3DB" w14:textId="77777777" w:rsidR="00194533" w:rsidRDefault="00194533" w:rsidP="00421E0A">
      <w:r>
        <w:separator/>
      </w:r>
    </w:p>
  </w:footnote>
  <w:footnote w:type="continuationSeparator" w:id="0">
    <w:p w14:paraId="310AA479" w14:textId="77777777" w:rsidR="00194533" w:rsidRDefault="00194533" w:rsidP="00421E0A">
      <w:r>
        <w:continuationSeparator/>
      </w:r>
    </w:p>
  </w:footnote>
  <w:footnote w:id="1">
    <w:p w14:paraId="5947E36B" w14:textId="146D6FD7" w:rsidR="002834DD" w:rsidRPr="009A0C7F" w:rsidRDefault="002834DD">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00BC6E89" w:rsidRPr="009A0C7F">
        <w:rPr>
          <w:rFonts w:ascii="Verdana" w:hAnsi="Verdana"/>
          <w:sz w:val="20"/>
          <w:szCs w:val="20"/>
          <w:lang w:val="nl-NL"/>
        </w:rPr>
        <w:t>Dont le texte</w:t>
      </w:r>
      <w:r w:rsidRPr="009A0C7F">
        <w:rPr>
          <w:rFonts w:ascii="Verdana" w:hAnsi="Verdana"/>
          <w:sz w:val="20"/>
          <w:szCs w:val="20"/>
          <w:lang w:val="nl-NL"/>
        </w:rPr>
        <w:t xml:space="preserve"> a fuité </w:t>
      </w:r>
      <w:r w:rsidR="00BC6E89" w:rsidRPr="009A0C7F">
        <w:rPr>
          <w:rFonts w:ascii="Verdana" w:hAnsi="Verdana"/>
          <w:sz w:val="20"/>
          <w:szCs w:val="20"/>
          <w:lang w:val="nl-NL"/>
        </w:rPr>
        <w:t xml:space="preserve">et est disponible </w:t>
      </w:r>
      <w:r w:rsidRPr="009A0C7F">
        <w:rPr>
          <w:rFonts w:ascii="Verdana" w:hAnsi="Verdana"/>
          <w:sz w:val="20"/>
          <w:szCs w:val="20"/>
          <w:lang w:val="nl-NL"/>
        </w:rPr>
        <w:t xml:space="preserve">ici </w:t>
      </w:r>
      <w:hyperlink r:id="rId1" w:history="1">
        <w:r w:rsidRPr="009A0C7F">
          <w:rPr>
            <w:rStyle w:val="Lienhypertexte"/>
            <w:rFonts w:ascii="Verdana" w:hAnsi="Verdana"/>
            <w:sz w:val="20"/>
            <w:szCs w:val="20"/>
            <w:lang w:val="nl-NL"/>
          </w:rPr>
          <w:t>http://download.krone.at/pdf/ceta.pdf</w:t>
        </w:r>
      </w:hyperlink>
      <w:r w:rsidRPr="009A0C7F">
        <w:rPr>
          <w:rFonts w:ascii="Verdana" w:hAnsi="Verdana"/>
          <w:sz w:val="20"/>
          <w:szCs w:val="20"/>
          <w:lang w:val="nl-NL"/>
        </w:rPr>
        <w:t xml:space="preserve"> </w:t>
      </w:r>
    </w:p>
  </w:footnote>
  <w:footnote w:id="2">
    <w:p w14:paraId="4AF8B143" w14:textId="2E49B3CB" w:rsidR="002834DD" w:rsidRPr="009A0C7F" w:rsidRDefault="002834DD">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Voir </w:t>
      </w:r>
      <w:hyperlink r:id="rId2" w:history="1">
        <w:r w:rsidRPr="009A0C7F">
          <w:rPr>
            <w:rStyle w:val="Lienhypertexte"/>
            <w:rFonts w:ascii="Verdana" w:hAnsi="Verdana"/>
            <w:sz w:val="20"/>
            <w:szCs w:val="20"/>
          </w:rPr>
          <w:t>http://participer.stop-ttip.be/groups/22/files/579</w:t>
        </w:r>
      </w:hyperlink>
      <w:r w:rsidRPr="009A0C7F">
        <w:rPr>
          <w:rFonts w:ascii="Verdana" w:hAnsi="Verdana"/>
          <w:sz w:val="20"/>
          <w:szCs w:val="20"/>
        </w:rPr>
        <w:t xml:space="preserve"> </w:t>
      </w:r>
    </w:p>
  </w:footnote>
  <w:footnote w:id="3">
    <w:p w14:paraId="708055D3" w14:textId="2E62919A" w:rsidR="002834DD" w:rsidRPr="009A0C7F" w:rsidRDefault="002834DD">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Voir </w:t>
      </w:r>
      <w:hyperlink r:id="rId3" w:history="1">
        <w:r w:rsidRPr="009A0C7F">
          <w:rPr>
            <w:rStyle w:val="Lienhypertexte"/>
            <w:rFonts w:ascii="Verdana" w:hAnsi="Verdana" w:cs="Tahoma"/>
            <w:bCs/>
            <w:sz w:val="20"/>
            <w:szCs w:val="20"/>
            <w:lang w:val="fr-FR"/>
          </w:rPr>
          <w:t>Pierre Kohler and Servaas Storm, Tufts University</w:t>
        </w:r>
      </w:hyperlink>
      <w:r w:rsidRPr="009A0C7F">
        <w:rPr>
          <w:rFonts w:ascii="Verdana" w:hAnsi="Verdana" w:cs="Tahoma"/>
          <w:bCs/>
          <w:color w:val="878787"/>
          <w:sz w:val="20"/>
          <w:szCs w:val="20"/>
          <w:lang w:val="fr-FR"/>
        </w:rPr>
        <w:t>,</w:t>
      </w:r>
      <w:r w:rsidRPr="009A0C7F">
        <w:rPr>
          <w:rFonts w:ascii="Verdana" w:hAnsi="Verdana"/>
          <w:sz w:val="20"/>
          <w:szCs w:val="20"/>
        </w:rPr>
        <w:t xml:space="preserve"> </w:t>
      </w:r>
      <w:hyperlink r:id="rId4" w:history="1">
        <w:r w:rsidRPr="009A0C7F">
          <w:rPr>
            <w:rFonts w:ascii="Verdana" w:hAnsi="Verdana" w:cs="Tahoma"/>
            <w:color w:val="305160"/>
            <w:sz w:val="20"/>
            <w:szCs w:val="20"/>
            <w:u w:val="single"/>
            <w:lang w:val="fr-FR"/>
          </w:rPr>
          <w:t>http://www.ase.tufts.edu/gdae/policy_research/ceta_simulations.html</w:t>
        </w:r>
      </w:hyperlink>
      <w:r w:rsidRPr="009A0C7F">
        <w:rPr>
          <w:rFonts w:ascii="Verdana" w:hAnsi="Verdana" w:cs="Tahoma"/>
          <w:color w:val="305160"/>
          <w:sz w:val="20"/>
          <w:szCs w:val="20"/>
          <w:lang w:val="fr-FR"/>
        </w:rPr>
        <w:t xml:space="preserve"> </w:t>
      </w:r>
    </w:p>
  </w:footnote>
  <w:footnote w:id="4">
    <w:p w14:paraId="5CEE5BA9" w14:textId="7AC9ECDB" w:rsidR="002834DD" w:rsidRPr="009A0C7F" w:rsidRDefault="002834DD">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Voir l’analyse par la DGB de cette résolution ici </w:t>
      </w:r>
      <w:hyperlink r:id="rId5" w:history="1">
        <w:r w:rsidRPr="009A0C7F">
          <w:rPr>
            <w:rStyle w:val="Lienhypertexte"/>
            <w:rFonts w:ascii="Verdana" w:hAnsi="Verdana"/>
            <w:sz w:val="20"/>
            <w:szCs w:val="20"/>
          </w:rPr>
          <w:t>http://participer.stop-ttip.be/groups/22/files/579</w:t>
        </w:r>
      </w:hyperlink>
    </w:p>
  </w:footnote>
  <w:footnote w:id="5">
    <w:p w14:paraId="05D77141" w14:textId="4120953D" w:rsidR="002834DD" w:rsidRPr="009A0C7F" w:rsidRDefault="002834DD">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nl-NL"/>
        </w:rPr>
        <w:t xml:space="preserve">Voir l’analyse complète (10p.) ici </w:t>
      </w:r>
      <w:hyperlink r:id="rId6" w:history="1">
        <w:r w:rsidRPr="009A0C7F">
          <w:rPr>
            <w:rStyle w:val="Lienhypertexte"/>
            <w:rFonts w:ascii="Verdana" w:hAnsi="Verdana"/>
            <w:sz w:val="20"/>
            <w:szCs w:val="20"/>
            <w:lang w:val="nl-NL"/>
          </w:rPr>
          <w:t>http://canadians.org/sites/default/files/CETA%2520Opinion%2520Final%2520%252800918287%2529.pdf</w:t>
        </w:r>
      </w:hyperlink>
      <w:r w:rsidRPr="009A0C7F">
        <w:rPr>
          <w:rFonts w:ascii="Verdana" w:hAnsi="Verdana"/>
          <w:sz w:val="20"/>
          <w:szCs w:val="20"/>
          <w:lang w:val="nl-NL"/>
        </w:rPr>
        <w:t xml:space="preserve"> et un résumé ici </w:t>
      </w:r>
      <w:hyperlink r:id="rId7" w:history="1">
        <w:r w:rsidRPr="009A0C7F">
          <w:rPr>
            <w:rStyle w:val="Lienhypertexte"/>
            <w:rFonts w:ascii="Verdana" w:hAnsi="Verdana"/>
            <w:sz w:val="20"/>
            <w:szCs w:val="20"/>
            <w:lang w:val="nl-NL"/>
          </w:rPr>
          <w:t>http://canadians.org/media/ceta-interpretive-declaration-legal-opinion</w:t>
        </w:r>
      </w:hyperlink>
      <w:r w:rsidRPr="009A0C7F">
        <w:rPr>
          <w:rFonts w:ascii="Verdana" w:hAnsi="Verdana"/>
          <w:sz w:val="20"/>
          <w:szCs w:val="20"/>
          <w:lang w:val="nl-NL"/>
        </w:rPr>
        <w:t xml:space="preserve"> </w:t>
      </w:r>
    </w:p>
  </w:footnote>
  <w:footnote w:id="6">
    <w:p w14:paraId="290B5084" w14:textId="3DE45D1D" w:rsidR="002834DD" w:rsidRPr="009A0C7F" w:rsidRDefault="002834DD" w:rsidP="00C80C88">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fr-FR"/>
        </w:rPr>
        <w:t xml:space="preserve">Selon Shaun Donnelly, un ancien de l’administration américaine sur les politiques commerciales, aujourd’hui lobbyiste pour « International Business »: «Le TTIP ne vaut la peine d’être conclu que s’il couvre l’aspect des règlementations, par exemple la suppression du principe de précaution». Voir </w:t>
      </w:r>
      <w:hyperlink r:id="rId8" w:history="1">
        <w:r w:rsidRPr="009A0C7F">
          <w:rPr>
            <w:rStyle w:val="Lienhypertexte"/>
            <w:rFonts w:ascii="Verdana" w:hAnsi="Verdana"/>
            <w:sz w:val="20"/>
            <w:szCs w:val="20"/>
            <w:lang w:val="fr-FR"/>
          </w:rPr>
          <w:t>http://corporateeurope.org/trade/2013/12/regulation-none-our-business</w:t>
        </w:r>
      </w:hyperlink>
      <w:r w:rsidRPr="009A0C7F">
        <w:rPr>
          <w:rFonts w:ascii="Verdana" w:hAnsi="Verdana"/>
          <w:sz w:val="20"/>
          <w:szCs w:val="20"/>
          <w:lang w:val="fr-FR"/>
        </w:rPr>
        <w:t xml:space="preserve"> </w:t>
      </w:r>
    </w:p>
  </w:footnote>
  <w:footnote w:id="7">
    <w:p w14:paraId="08CCBAD0" w14:textId="77777777" w:rsidR="009A0C7F" w:rsidRPr="009A0C7F" w:rsidRDefault="009A0C7F" w:rsidP="009A0C7F">
      <w:pPr>
        <w:pStyle w:val="Notedebasdepage"/>
        <w:rPr>
          <w:rFonts w:ascii="Verdana" w:hAnsi="Verdana"/>
          <w:b/>
          <w:bCs/>
          <w:i/>
          <w:sz w:val="20"/>
          <w:szCs w:val="20"/>
          <w:lang w:val="fr-FR"/>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b/>
          <w:bCs/>
          <w:i/>
          <w:sz w:val="20"/>
          <w:szCs w:val="20"/>
          <w:lang w:val="fr-FR"/>
        </w:rPr>
        <w:t>PRINCIPE 15</w:t>
      </w:r>
    </w:p>
    <w:p w14:paraId="2753B1E9" w14:textId="696195F1" w:rsidR="009A0C7F" w:rsidRPr="009A0C7F" w:rsidRDefault="009A0C7F">
      <w:pPr>
        <w:pStyle w:val="Notedebasdepage"/>
        <w:rPr>
          <w:rFonts w:ascii="Verdana" w:hAnsi="Verdana"/>
          <w:bCs/>
          <w:i/>
          <w:sz w:val="20"/>
          <w:szCs w:val="20"/>
          <w:lang w:val="fr-FR"/>
        </w:rPr>
      </w:pPr>
      <w:r w:rsidRPr="009A0C7F">
        <w:rPr>
          <w:rFonts w:ascii="Verdana" w:hAnsi="Verdana"/>
          <w:bCs/>
          <w:i/>
          <w:sz w:val="20"/>
          <w:szCs w:val="20"/>
          <w:lang w:val="fr-FR"/>
        </w:rPr>
        <w:t xml:space="preserve">Pour protéger l'environnement, des mesures de précaution doivent être largement appliquées par les Etats selon leurs capacités. En cas de risque de dommages graves ou irréversibles, l'absence de certitude scientifique absolue ne doit pas servir de prétexte pour remettre à plus tard l'adoption de mesures effectives visant à prévenir la dégradation de l'environnement. </w:t>
      </w:r>
      <w:hyperlink r:id="rId9" w:history="1">
        <w:r w:rsidRPr="009A0C7F">
          <w:rPr>
            <w:rStyle w:val="Lienhypertexte"/>
            <w:rFonts w:ascii="Verdana" w:hAnsi="Verdana"/>
            <w:bCs/>
            <w:i/>
            <w:sz w:val="20"/>
            <w:szCs w:val="20"/>
            <w:lang w:val="fr-FR"/>
          </w:rPr>
          <w:t>http://www.un.org/french/events/rio92/rio-fp.htm</w:t>
        </w:r>
      </w:hyperlink>
      <w:r w:rsidRPr="009A0C7F">
        <w:rPr>
          <w:rFonts w:ascii="Verdana" w:hAnsi="Verdana"/>
          <w:bCs/>
          <w:i/>
          <w:sz w:val="20"/>
          <w:szCs w:val="20"/>
          <w:lang w:val="fr-FR"/>
        </w:rPr>
        <w:t xml:space="preserve"> </w:t>
      </w:r>
    </w:p>
  </w:footnote>
  <w:footnote w:id="8">
    <w:p w14:paraId="199FE07E" w14:textId="1738A2CA" w:rsidR="002834DD" w:rsidRPr="009A0C7F" w:rsidRDefault="002834DD">
      <w:pPr>
        <w:pStyle w:val="Notedebasdepage"/>
        <w:rPr>
          <w:rFonts w:ascii="Verdana" w:hAnsi="Verdana"/>
          <w:sz w:val="20"/>
          <w:szCs w:val="20"/>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10" w:history="1">
        <w:r w:rsidRPr="009A0C7F">
          <w:rPr>
            <w:rStyle w:val="Lienhypertexte"/>
            <w:rFonts w:ascii="Verdana" w:hAnsi="Verdana"/>
            <w:sz w:val="20"/>
            <w:szCs w:val="20"/>
          </w:rPr>
          <w:t>https://www.theguardian.com/environment/2015/may/22/eu-dropped-pesticide-laws-due-to-us-pressure-over-ttip-documents-reveal</w:t>
        </w:r>
      </w:hyperlink>
      <w:r w:rsidRPr="009A0C7F">
        <w:rPr>
          <w:rFonts w:ascii="Verdana" w:hAnsi="Verdana"/>
          <w:sz w:val="20"/>
          <w:szCs w:val="20"/>
        </w:rPr>
        <w:t xml:space="preserve"> </w:t>
      </w:r>
    </w:p>
  </w:footnote>
  <w:footnote w:id="9">
    <w:p w14:paraId="243D8373" w14:textId="36A55246" w:rsidR="002834DD" w:rsidRPr="009A0C7F" w:rsidRDefault="002834DD">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Voir une analyse plus complète concernant CETA et les régulations financières ici </w:t>
      </w:r>
      <w:hyperlink r:id="rId11" w:history="1">
        <w:r w:rsidRPr="009A0C7F">
          <w:rPr>
            <w:rStyle w:val="Lienhypertexte"/>
            <w:rFonts w:ascii="Verdana" w:hAnsi="Verdana"/>
            <w:sz w:val="20"/>
            <w:szCs w:val="20"/>
          </w:rPr>
          <w:t>http://participer.stop-ttip.be/groups/14/files/211</w:t>
        </w:r>
      </w:hyperlink>
      <w:r w:rsidRPr="009A0C7F">
        <w:rPr>
          <w:rFonts w:ascii="Verdana" w:hAnsi="Verdana"/>
          <w:sz w:val="20"/>
          <w:szCs w:val="20"/>
        </w:rPr>
        <w:t xml:space="preserve"> </w:t>
      </w:r>
    </w:p>
  </w:footnote>
  <w:footnote w:id="10">
    <w:p w14:paraId="15215A57" w14:textId="0EA0F38B" w:rsidR="002834DD" w:rsidRPr="009A0C7F" w:rsidRDefault="002834DD">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cs="Helvetica"/>
          <w:sz w:val="20"/>
          <w:szCs w:val="20"/>
          <w:lang w:val="fr-FR"/>
        </w:rPr>
        <w:t xml:space="preserve">Inspiré par une analyse de l’association européenne des droits et libertés en ligne, à lire entièrement ici </w:t>
      </w:r>
      <w:hyperlink r:id="rId12" w:history="1">
        <w:r w:rsidRPr="009A0C7F">
          <w:rPr>
            <w:rStyle w:val="Lienhypertexte"/>
            <w:rFonts w:ascii="Verdana" w:hAnsi="Verdana" w:cs="Helvetica"/>
            <w:sz w:val="20"/>
            <w:szCs w:val="20"/>
            <w:lang w:val="fr-FR"/>
          </w:rPr>
          <w:t>https://edri.org/ceta-puts-protection-privacy-and-personal-data-at-risk/</w:t>
        </w:r>
      </w:hyperlink>
      <w:r w:rsidRPr="009A0C7F">
        <w:rPr>
          <w:rFonts w:ascii="Verdana" w:hAnsi="Verdana" w:cs="Helvetica"/>
          <w:sz w:val="20"/>
          <w:szCs w:val="20"/>
          <w:lang w:val="fr-FR"/>
        </w:rPr>
        <w:t xml:space="preserve"> </w:t>
      </w:r>
    </w:p>
  </w:footnote>
  <w:footnote w:id="11">
    <w:p w14:paraId="6BCAF81E" w14:textId="62F049E9" w:rsidR="006E1151" w:rsidRPr="009A0C7F" w:rsidRDefault="006E1151">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13" w:history="1">
        <w:r w:rsidRPr="009A0C7F">
          <w:rPr>
            <w:rStyle w:val="Lienhypertexte"/>
            <w:rFonts w:ascii="Verdana" w:hAnsi="Verdana"/>
            <w:sz w:val="20"/>
            <w:szCs w:val="20"/>
          </w:rPr>
          <w:t>http://www.fwa.be/wordpressfwa/index.php/ttip-une-assemblee-a-ne-pas-manquer/</w:t>
        </w:r>
      </w:hyperlink>
      <w:r w:rsidRPr="009A0C7F">
        <w:rPr>
          <w:rFonts w:ascii="Verdana" w:hAnsi="Verdana"/>
          <w:sz w:val="20"/>
          <w:szCs w:val="20"/>
        </w:rPr>
        <w:t xml:space="preserve"> </w:t>
      </w:r>
    </w:p>
  </w:footnote>
  <w:footnote w:id="12">
    <w:p w14:paraId="6E2B3E77" w14:textId="41DF914F" w:rsidR="005902B1" w:rsidRPr="009A0C7F" w:rsidRDefault="005902B1">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14" w:history="1">
        <w:r w:rsidRPr="009A0C7F">
          <w:rPr>
            <w:rStyle w:val="Lienhypertexte"/>
            <w:rFonts w:ascii="Verdana" w:hAnsi="Verdana"/>
            <w:sz w:val="20"/>
            <w:szCs w:val="20"/>
          </w:rPr>
          <w:t>http://www.agrisalon.com/actualites/2016/09/01/apres-l-arret-des-negociations-du-tafta-interbev-demande-l-arret-du-ceta</w:t>
        </w:r>
      </w:hyperlink>
      <w:r w:rsidRPr="009A0C7F">
        <w:rPr>
          <w:rFonts w:ascii="Verdana" w:hAnsi="Verdana"/>
          <w:sz w:val="20"/>
          <w:szCs w:val="20"/>
        </w:rPr>
        <w:t xml:space="preserve"> </w:t>
      </w:r>
    </w:p>
  </w:footnote>
  <w:footnote w:id="13">
    <w:p w14:paraId="1FAE1B59" w14:textId="55A1DEC2" w:rsidR="005902B1" w:rsidRPr="009A0C7F" w:rsidRDefault="005902B1">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15" w:history="1">
        <w:r w:rsidRPr="009A0C7F">
          <w:rPr>
            <w:rStyle w:val="Lienhypertexte"/>
            <w:rFonts w:ascii="Verdana" w:hAnsi="Verdana"/>
            <w:sz w:val="20"/>
            <w:szCs w:val="20"/>
          </w:rPr>
          <w:t>http://participer.stop-ttip.be/groups/14/files/207</w:t>
        </w:r>
      </w:hyperlink>
      <w:r w:rsidRPr="009A0C7F">
        <w:rPr>
          <w:rFonts w:ascii="Verdana" w:hAnsi="Verdana"/>
          <w:sz w:val="20"/>
          <w:szCs w:val="20"/>
        </w:rPr>
        <w:t xml:space="preserve"> </w:t>
      </w:r>
    </w:p>
  </w:footnote>
  <w:footnote w:id="14">
    <w:p w14:paraId="456A999B" w14:textId="65F3A35A" w:rsidR="005902B1" w:rsidRPr="009A0C7F" w:rsidRDefault="005902B1">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16" w:history="1">
        <w:r w:rsidRPr="009A0C7F">
          <w:rPr>
            <w:rStyle w:val="Lienhypertexte"/>
            <w:rFonts w:ascii="Verdana" w:hAnsi="Verdana"/>
            <w:sz w:val="20"/>
            <w:szCs w:val="20"/>
          </w:rPr>
          <w:t>http://www.no-transat.be/sites/default/files/dossiers-presse/2016-03-17_-_ttip_ceta_la_grande_braderie_sanitaire.pdf</w:t>
        </w:r>
      </w:hyperlink>
      <w:r w:rsidRPr="009A0C7F">
        <w:rPr>
          <w:rFonts w:ascii="Verdana" w:hAnsi="Verdana"/>
          <w:sz w:val="20"/>
          <w:szCs w:val="20"/>
        </w:rPr>
        <w:t xml:space="preserve"> </w:t>
      </w:r>
    </w:p>
  </w:footnote>
  <w:footnote w:id="15">
    <w:p w14:paraId="69BD51FF" w14:textId="628049DB" w:rsidR="005902B1" w:rsidRPr="009A0C7F" w:rsidRDefault="005902B1">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17" w:history="1">
        <w:r w:rsidRPr="009A0C7F">
          <w:rPr>
            <w:rStyle w:val="Lienhypertexte"/>
            <w:rFonts w:ascii="Verdana" w:hAnsi="Verdana"/>
            <w:sz w:val="20"/>
            <w:szCs w:val="20"/>
          </w:rPr>
          <w:t>http://participer.stop-ttip.be/groups/14/files/207</w:t>
        </w:r>
      </w:hyperlink>
      <w:r w:rsidRPr="009A0C7F">
        <w:rPr>
          <w:rFonts w:ascii="Verdana" w:hAnsi="Verdana"/>
          <w:sz w:val="20"/>
          <w:szCs w:val="20"/>
        </w:rPr>
        <w:t xml:space="preserve"> </w:t>
      </w:r>
    </w:p>
  </w:footnote>
  <w:footnote w:id="16">
    <w:p w14:paraId="42F28475" w14:textId="750B483E" w:rsidR="00F8406F" w:rsidRPr="009A0C7F" w:rsidRDefault="00F8406F">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18" w:history="1">
        <w:r w:rsidRPr="009A0C7F">
          <w:rPr>
            <w:rStyle w:val="Lienhypertexte"/>
            <w:rFonts w:ascii="Verdana" w:hAnsi="Verdana"/>
            <w:sz w:val="20"/>
            <w:szCs w:val="20"/>
          </w:rPr>
          <w:t>http://www.nfu.ca/issues/canada-eu-comprehensive-economic-and-trade-agreement</w:t>
        </w:r>
      </w:hyperlink>
      <w:r w:rsidRPr="009A0C7F">
        <w:rPr>
          <w:rFonts w:ascii="Verdana" w:hAnsi="Verdana"/>
          <w:sz w:val="20"/>
          <w:szCs w:val="20"/>
        </w:rPr>
        <w:t xml:space="preserve"> </w:t>
      </w:r>
    </w:p>
  </w:footnote>
  <w:footnote w:id="17">
    <w:p w14:paraId="2D32A086" w14:textId="1CC5631A" w:rsidR="003B19B7" w:rsidRPr="003B19B7" w:rsidRDefault="003B19B7">
      <w:pPr>
        <w:pStyle w:val="Notedebasdepage"/>
        <w:rPr>
          <w:lang w:val="nl-NL"/>
        </w:rPr>
      </w:pPr>
      <w:r>
        <w:rPr>
          <w:rStyle w:val="Appelnotedebasdep"/>
        </w:rPr>
        <w:footnoteRef/>
      </w:r>
      <w:r>
        <w:t xml:space="preserve"> </w:t>
      </w:r>
      <w:hyperlink r:id="rId19" w:history="1">
        <w:r w:rsidRPr="007D117F">
          <w:rPr>
            <w:rStyle w:val="Lienhypertexte"/>
          </w:rPr>
          <w:t>http://www.nfu.ca/sites/www.nfu.ca/files/2016-07-22%20NFU%20Letter%20to%20EU%20Ag%20Commissioner%20Phil%20Hogan_0.pdf</w:t>
        </w:r>
      </w:hyperlink>
      <w:r>
        <w:t xml:space="preserve"> </w:t>
      </w:r>
    </w:p>
  </w:footnote>
  <w:footnote w:id="18">
    <w:p w14:paraId="710FF535" w14:textId="7321DCB6" w:rsidR="002834DD" w:rsidRPr="009A0C7F" w:rsidRDefault="002834DD" w:rsidP="002F4807">
      <w:pPr>
        <w:pStyle w:val="Notedebasdepage"/>
        <w:rPr>
          <w:rFonts w:ascii="Verdana" w:hAnsi="Verdana"/>
          <w:sz w:val="20"/>
          <w:szCs w:val="20"/>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nl-NL"/>
        </w:rPr>
        <w:t>Amplement documenté dans la note “</w:t>
      </w:r>
      <w:r w:rsidRPr="009A0C7F">
        <w:rPr>
          <w:rFonts w:ascii="Verdana" w:hAnsi="Verdana"/>
          <w:sz w:val="20"/>
          <w:szCs w:val="20"/>
        </w:rPr>
        <w:t xml:space="preserve">L’impact du CETA sur la démocratie et le développement, du local au global » </w:t>
      </w:r>
    </w:p>
    <w:p w14:paraId="4BF630C5" w14:textId="2CB5347C" w:rsidR="002834DD" w:rsidRPr="009A0C7F" w:rsidRDefault="002834DD">
      <w:pPr>
        <w:pStyle w:val="Notedebasdepage"/>
        <w:rPr>
          <w:rFonts w:ascii="Verdana" w:hAnsi="Verdana"/>
          <w:sz w:val="20"/>
          <w:szCs w:val="20"/>
          <w:lang w:val="nl-NL"/>
        </w:rPr>
      </w:pPr>
      <w:r w:rsidRPr="009A0C7F">
        <w:rPr>
          <w:rFonts w:ascii="Verdana" w:hAnsi="Verdana"/>
          <w:sz w:val="20"/>
          <w:szCs w:val="20"/>
          <w:lang w:val="nl-NL"/>
        </w:rPr>
        <w:t xml:space="preserve"> </w:t>
      </w:r>
      <w:hyperlink r:id="rId20" w:history="1">
        <w:r w:rsidRPr="009A0C7F">
          <w:rPr>
            <w:rStyle w:val="Lienhypertexte"/>
            <w:rFonts w:ascii="Verdana" w:hAnsi="Verdana"/>
            <w:sz w:val="20"/>
            <w:szCs w:val="20"/>
            <w:lang w:val="nl-NL"/>
          </w:rPr>
          <w:t>http://participer.stop-ttip.be/groups/14/files/173</w:t>
        </w:r>
      </w:hyperlink>
      <w:r w:rsidRPr="009A0C7F">
        <w:rPr>
          <w:rFonts w:ascii="Verdana" w:hAnsi="Verdana"/>
          <w:sz w:val="20"/>
          <w:szCs w:val="20"/>
          <w:lang w:val="nl-NL"/>
        </w:rPr>
        <w:t xml:space="preserve"> </w:t>
      </w:r>
    </w:p>
  </w:footnote>
  <w:footnote w:id="19">
    <w:p w14:paraId="311A0586" w14:textId="7C5B6EAC" w:rsidR="002834DD" w:rsidRPr="009A0C7F" w:rsidRDefault="002834DD">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nl-NL"/>
        </w:rPr>
        <w:t xml:space="preserve">Notamment lors de son audition au Parlement wallon, voir l’exercice de “fact checking” de ses déclarations devant les parlements belges: </w:t>
      </w:r>
      <w:hyperlink r:id="rId21" w:history="1">
        <w:r w:rsidRPr="009A0C7F">
          <w:rPr>
            <w:rStyle w:val="Lienhypertexte"/>
            <w:rFonts w:ascii="Verdana" w:hAnsi="Verdana"/>
            <w:sz w:val="20"/>
            <w:szCs w:val="20"/>
            <w:lang w:val="nl-NL"/>
          </w:rPr>
          <w:t>http://www.cncd.be/Traites-transatlantiques-le-slalom</w:t>
        </w:r>
      </w:hyperlink>
      <w:r w:rsidRPr="009A0C7F">
        <w:rPr>
          <w:rFonts w:ascii="Verdana" w:hAnsi="Verdana"/>
          <w:sz w:val="20"/>
          <w:szCs w:val="20"/>
          <w:lang w:val="nl-NL"/>
        </w:rPr>
        <w:t xml:space="preserve"> </w:t>
      </w:r>
    </w:p>
  </w:footnote>
  <w:footnote w:id="20">
    <w:p w14:paraId="3178EB91" w14:textId="48C911A8" w:rsidR="002834DD" w:rsidRPr="009A0C7F" w:rsidRDefault="002834DD">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nl-NL"/>
        </w:rPr>
        <w:t xml:space="preserve">Ceci est quantifié dans l’anayse disponible ici </w:t>
      </w:r>
      <w:hyperlink r:id="rId22" w:history="1">
        <w:r w:rsidRPr="009A0C7F">
          <w:rPr>
            <w:rStyle w:val="Lienhypertexte"/>
            <w:rFonts w:ascii="Verdana" w:hAnsi="Verdana"/>
            <w:sz w:val="20"/>
            <w:szCs w:val="20"/>
            <w:lang w:val="nl-NL"/>
          </w:rPr>
          <w:t>http://www.cncd.be/Traites-transatlantiques-le-slalom</w:t>
        </w:r>
      </w:hyperlink>
      <w:r w:rsidRPr="009A0C7F">
        <w:rPr>
          <w:rFonts w:ascii="Verdana" w:hAnsi="Verdana"/>
          <w:sz w:val="20"/>
          <w:szCs w:val="20"/>
          <w:lang w:val="nl-NL"/>
        </w:rPr>
        <w:t xml:space="preserve"> </w:t>
      </w:r>
    </w:p>
  </w:footnote>
  <w:footnote w:id="21">
    <w:p w14:paraId="3EB2EA0D" w14:textId="2BA5C2B0" w:rsidR="002834DD" w:rsidRPr="009A0C7F" w:rsidRDefault="002834DD">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cs="Helvetica"/>
          <w:sz w:val="20"/>
          <w:szCs w:val="20"/>
          <w:lang w:val="fr-FR"/>
        </w:rPr>
        <w:t>L’industrie financière consacre ainsi 30 fois plus d’argent à ses activités de lobbying que les groupes qui promeuvent la régulation des banques pour protéger l’intérêt général (Corporate Europe Observatory, AK et OGB, The Fire Power of the Financial Lobby, 2014)</w:t>
      </w:r>
    </w:p>
  </w:footnote>
  <w:footnote w:id="22">
    <w:p w14:paraId="26BD13F9" w14:textId="262533AE" w:rsidR="002834DD" w:rsidRPr="009A0C7F" w:rsidRDefault="002834DD">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cs="Helvetica"/>
          <w:sz w:val="20"/>
          <w:szCs w:val="20"/>
          <w:lang w:val="fr-FR"/>
        </w:rPr>
        <w:t>Corporate Europe Observatory, Who lobbies most on TTIP ?, juillet 2014. </w:t>
      </w:r>
      <w:hyperlink r:id="rId23" w:history="1">
        <w:r w:rsidRPr="009A0C7F">
          <w:rPr>
            <w:rStyle w:val="Lienhypertexte"/>
            <w:rFonts w:ascii="Verdana" w:hAnsi="Verdana" w:cs="Helvetica"/>
            <w:sz w:val="20"/>
            <w:szCs w:val="20"/>
            <w:lang w:val="fr-FR"/>
          </w:rPr>
          <w:t>http://corporateeurope.org/international-trade/2014/07/who-lobbies-most-ttip</w:t>
        </w:r>
      </w:hyperlink>
      <w:r w:rsidRPr="009A0C7F">
        <w:rPr>
          <w:rFonts w:ascii="Verdana" w:hAnsi="Verdana" w:cs="Helvetica"/>
          <w:sz w:val="20"/>
          <w:szCs w:val="20"/>
          <w:lang w:val="fr-FR"/>
        </w:rPr>
        <w:t xml:space="preserve"> </w:t>
      </w:r>
    </w:p>
  </w:footnote>
  <w:footnote w:id="23">
    <w:p w14:paraId="4545A5D2" w14:textId="350F233B" w:rsidR="002834DD" w:rsidRPr="009A0C7F" w:rsidRDefault="002834DD">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Elle </w:t>
      </w:r>
      <w:r w:rsidRPr="009A0C7F">
        <w:rPr>
          <w:rFonts w:ascii="Verdana" w:hAnsi="Verdana" w:cs="Helvetica"/>
          <w:sz w:val="20"/>
          <w:szCs w:val="20"/>
          <w:lang w:val="fr-FR"/>
        </w:rPr>
        <w:t>est disponible ici, à partir de la page 46 : </w:t>
      </w:r>
      <w:hyperlink r:id="rId24" w:history="1">
        <w:r w:rsidRPr="009A0C7F">
          <w:rPr>
            <w:rFonts w:ascii="Verdana" w:hAnsi="Verdana" w:cs="Helvetica"/>
            <w:color w:val="386EFF"/>
            <w:sz w:val="20"/>
            <w:szCs w:val="20"/>
            <w:u w:val="single" w:color="386EFF"/>
            <w:lang w:val="fr-FR"/>
          </w:rPr>
          <w:t>https://www.tni.org/files/publication-downloads/making-sense-of-ceta_22092016.pdf</w:t>
        </w:r>
      </w:hyperlink>
    </w:p>
  </w:footnote>
  <w:footnote w:id="24">
    <w:p w14:paraId="40BC769B" w14:textId="77777777" w:rsidR="002834DD" w:rsidRPr="009A0C7F" w:rsidRDefault="002834DD" w:rsidP="00421E0A">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Récent papier très fouillé sur CETA et services publics, de la Chambre des Salariés du Luxembourg : </w:t>
      </w:r>
      <w:hyperlink r:id="rId25" w:history="1">
        <w:r w:rsidRPr="009A0C7F">
          <w:rPr>
            <w:rStyle w:val="Lienhypertexte"/>
            <w:rFonts w:ascii="Verdana" w:hAnsi="Verdana"/>
            <w:sz w:val="20"/>
            <w:szCs w:val="20"/>
          </w:rPr>
          <w:t>http://www.europaforum.public.lu/fr/actualites/2016/06/csl-ceta/16-06-02-CETA.pdf</w:t>
        </w:r>
      </w:hyperlink>
      <w:r w:rsidRPr="009A0C7F">
        <w:rPr>
          <w:rFonts w:ascii="Verdana" w:hAnsi="Verdana"/>
          <w:sz w:val="20"/>
          <w:szCs w:val="20"/>
        </w:rPr>
        <w:t xml:space="preserve"> </w:t>
      </w:r>
    </w:p>
  </w:footnote>
  <w:footnote w:id="25">
    <w:p w14:paraId="191EE530" w14:textId="77777777" w:rsidR="002834DD" w:rsidRPr="009A0C7F" w:rsidRDefault="002834DD" w:rsidP="00421E0A">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lang w:val="nl-NL"/>
        </w:rPr>
        <w:t xml:space="preserve"> p. 7 </w:t>
      </w:r>
      <w:hyperlink r:id="rId26" w:history="1">
        <w:r w:rsidRPr="009A0C7F">
          <w:rPr>
            <w:rStyle w:val="Lienhypertexte"/>
            <w:rFonts w:ascii="Verdana" w:hAnsi="Verdana"/>
            <w:sz w:val="20"/>
            <w:szCs w:val="20"/>
            <w:lang w:val="nl-NL"/>
          </w:rPr>
          <w:t>http://nautilus.parlement-wallon.be/Archives/2014_2015/CRAC/crac166.pdf</w:t>
        </w:r>
      </w:hyperlink>
      <w:r w:rsidRPr="009A0C7F">
        <w:rPr>
          <w:rFonts w:ascii="Verdana" w:hAnsi="Verdana"/>
          <w:sz w:val="20"/>
          <w:szCs w:val="20"/>
          <w:lang w:val="nl-NL"/>
        </w:rPr>
        <w:t xml:space="preserve"> </w:t>
      </w:r>
    </w:p>
  </w:footnote>
  <w:footnote w:id="26">
    <w:p w14:paraId="514B23D9" w14:textId="77777777" w:rsidR="002834DD" w:rsidRPr="009A0C7F" w:rsidRDefault="002834DD" w:rsidP="00421E0A">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lang w:val="nl-NL"/>
        </w:rPr>
        <w:t xml:space="preserve"> p. 8 </w:t>
      </w:r>
      <w:hyperlink r:id="rId27" w:history="1">
        <w:r w:rsidRPr="009A0C7F">
          <w:rPr>
            <w:rStyle w:val="Lienhypertexte"/>
            <w:rFonts w:ascii="Verdana" w:hAnsi="Verdana"/>
            <w:sz w:val="20"/>
            <w:szCs w:val="20"/>
            <w:lang w:val="nl-NL"/>
          </w:rPr>
          <w:t>http://nautilus.parlement-wallon.be/Archives/2014_2015/CRAC/crac166.pdf</w:t>
        </w:r>
      </w:hyperlink>
      <w:r w:rsidRPr="009A0C7F">
        <w:rPr>
          <w:rFonts w:ascii="Verdana" w:hAnsi="Verdana"/>
          <w:sz w:val="20"/>
          <w:szCs w:val="20"/>
          <w:lang w:val="nl-NL"/>
        </w:rPr>
        <w:t xml:space="preserve"> </w:t>
      </w:r>
    </w:p>
  </w:footnote>
  <w:footnote w:id="27">
    <w:p w14:paraId="4AAB2BA0" w14:textId="77777777" w:rsidR="002834DD" w:rsidRPr="009A0C7F" w:rsidRDefault="002834DD" w:rsidP="00421E0A">
      <w:pPr>
        <w:pStyle w:val="Notedebasdepage"/>
        <w:rPr>
          <w:rFonts w:ascii="Verdana" w:hAnsi="Verdana"/>
          <w:sz w:val="20"/>
          <w:szCs w:val="20"/>
          <w:lang w:val="nl-NL"/>
        </w:rPr>
      </w:pPr>
      <w:r w:rsidRPr="009A0C7F">
        <w:rPr>
          <w:rStyle w:val="Appelnotedebasdep"/>
          <w:rFonts w:ascii="Verdana" w:hAnsi="Verdana"/>
          <w:sz w:val="20"/>
          <w:szCs w:val="20"/>
          <w:lang w:val="fr-FR"/>
        </w:rPr>
        <w:footnoteRef/>
      </w:r>
      <w:r w:rsidRPr="009A0C7F">
        <w:rPr>
          <w:rFonts w:ascii="Verdana" w:hAnsi="Verdana"/>
          <w:sz w:val="20"/>
          <w:szCs w:val="20"/>
          <w:lang w:val="fr-FR"/>
        </w:rPr>
        <w:t xml:space="preserve"> Selon les mots utilisés dans son analyse par le syndicat allemand DGB </w:t>
      </w:r>
      <w:hyperlink r:id="rId28" w:history="1">
        <w:r w:rsidRPr="009A0C7F">
          <w:rPr>
            <w:rStyle w:val="Lienhypertexte"/>
            <w:rFonts w:ascii="Verdana" w:hAnsi="Verdana"/>
            <w:sz w:val="20"/>
            <w:szCs w:val="20"/>
            <w:lang w:val="nl-NL"/>
          </w:rPr>
          <w:t>http://www.epsu.org/sites/default/files/article/files/DGB_Position_CETA_english.pdf</w:t>
        </w:r>
      </w:hyperlink>
      <w:r w:rsidRPr="009A0C7F">
        <w:rPr>
          <w:rFonts w:ascii="Verdana" w:hAnsi="Verdana"/>
          <w:sz w:val="20"/>
          <w:szCs w:val="20"/>
          <w:lang w:val="nl-NL"/>
        </w:rPr>
        <w:t xml:space="preserve"> </w:t>
      </w:r>
    </w:p>
  </w:footnote>
  <w:footnote w:id="28">
    <w:p w14:paraId="23B57344" w14:textId="77777777" w:rsidR="002834DD" w:rsidRPr="009A0C7F" w:rsidRDefault="002834DD" w:rsidP="00421E0A">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lang w:val="nl-NL"/>
        </w:rPr>
        <w:t xml:space="preserve"> </w:t>
      </w:r>
      <w:hyperlink r:id="rId29" w:history="1">
        <w:r w:rsidRPr="009A0C7F">
          <w:rPr>
            <w:rStyle w:val="Lienhypertexte"/>
            <w:rFonts w:ascii="Verdana" w:hAnsi="Verdana"/>
            <w:sz w:val="20"/>
            <w:szCs w:val="20"/>
            <w:lang w:val="nl-NL"/>
          </w:rPr>
          <w:t>http://unstats.un.org/unsd/cr/registry/cpc-21.asp</w:t>
        </w:r>
      </w:hyperlink>
      <w:r w:rsidRPr="009A0C7F">
        <w:rPr>
          <w:rFonts w:ascii="Verdana" w:hAnsi="Verdana"/>
          <w:sz w:val="20"/>
          <w:szCs w:val="20"/>
          <w:lang w:val="nl-NL"/>
        </w:rPr>
        <w:t xml:space="preserve"> </w:t>
      </w:r>
    </w:p>
  </w:footnote>
  <w:footnote w:id="29">
    <w:p w14:paraId="0313BEE4" w14:textId="77777777" w:rsidR="002834DD" w:rsidRPr="009A0C7F" w:rsidRDefault="002834DD" w:rsidP="00421E0A">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nl-NL"/>
        </w:rPr>
        <w:t xml:space="preserve">p. 731 à 1598 </w:t>
      </w:r>
      <w:hyperlink r:id="rId30" w:history="1">
        <w:r w:rsidRPr="009A0C7F">
          <w:rPr>
            <w:rStyle w:val="Lienhypertexte"/>
            <w:rFonts w:ascii="Verdana" w:hAnsi="Verdana"/>
            <w:sz w:val="20"/>
            <w:szCs w:val="20"/>
            <w:lang w:val="fr-FR"/>
          </w:rPr>
          <w:t>http://trade.ec.europa.eu/doclib/docs/2014/september/tradoc_152806.pdf</w:t>
        </w:r>
      </w:hyperlink>
      <w:r w:rsidRPr="009A0C7F">
        <w:rPr>
          <w:rStyle w:val="Lienhypertexte"/>
          <w:rFonts w:ascii="Verdana" w:hAnsi="Verdana"/>
          <w:sz w:val="20"/>
          <w:szCs w:val="20"/>
          <w:lang w:val="fr-FR"/>
        </w:rPr>
        <w:t xml:space="preserve"> </w:t>
      </w:r>
      <w:r w:rsidRPr="009A0C7F">
        <w:rPr>
          <w:rFonts w:ascii="Verdana" w:hAnsi="Verdana"/>
          <w:sz w:val="20"/>
          <w:szCs w:val="20"/>
          <w:lang w:val="nl-NL"/>
        </w:rPr>
        <w:t xml:space="preserve"> </w:t>
      </w:r>
    </w:p>
  </w:footnote>
  <w:footnote w:id="30">
    <w:p w14:paraId="278ED35F" w14:textId="77777777" w:rsidR="002834DD" w:rsidRPr="009A0C7F" w:rsidRDefault="002834DD" w:rsidP="00421E0A">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fr-FR"/>
        </w:rPr>
        <w:t>Liste Européenne : Annexe 1 pp 979 à 988, Annexe 2 1294 à 1316 ; Listes nationales des Etats européens :</w:t>
      </w:r>
      <w:r w:rsidRPr="009A0C7F">
        <w:rPr>
          <w:rFonts w:ascii="Verdana" w:hAnsi="Verdana"/>
          <w:sz w:val="20"/>
          <w:szCs w:val="20"/>
          <w:lang w:val="nl-NL"/>
        </w:rPr>
        <w:t xml:space="preserve"> Annexe 1 pp 989 à 1192, Annexe 2 pp 1317 à 1452 ; Listes de la Belgique : Annexe 1 pp 1001 à 1008, Annexe 2 pp 1319 à 1327</w:t>
      </w:r>
    </w:p>
  </w:footnote>
  <w:footnote w:id="31">
    <w:p w14:paraId="2D4FB33D" w14:textId="77777777" w:rsidR="002834DD" w:rsidRPr="009A0C7F" w:rsidRDefault="002834DD" w:rsidP="00421E0A">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nl-NL"/>
        </w:rPr>
        <w:t xml:space="preserve">Voir </w:t>
      </w:r>
      <w:hyperlink r:id="rId31" w:history="1">
        <w:r w:rsidRPr="009A0C7F">
          <w:rPr>
            <w:rStyle w:val="Lienhypertexte"/>
            <w:rFonts w:ascii="Verdana" w:hAnsi="Verdana"/>
            <w:sz w:val="20"/>
            <w:szCs w:val="20"/>
            <w:lang w:val="nl-NL"/>
          </w:rPr>
          <w:t>http://participer.stop-ttip.be/groups/14/files/138</w:t>
        </w:r>
      </w:hyperlink>
      <w:r w:rsidRPr="009A0C7F">
        <w:rPr>
          <w:rFonts w:ascii="Verdana" w:hAnsi="Verdana"/>
          <w:sz w:val="20"/>
          <w:szCs w:val="20"/>
          <w:lang w:val="nl-NL"/>
        </w:rPr>
        <w:t xml:space="preserve"> </w:t>
      </w:r>
    </w:p>
  </w:footnote>
  <w:footnote w:id="32">
    <w:p w14:paraId="659BFFD4" w14:textId="77777777" w:rsidR="002834DD" w:rsidRPr="009A0C7F" w:rsidRDefault="002834DD" w:rsidP="00421E0A">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lang w:val="nl-NL"/>
        </w:rPr>
        <w:t xml:space="preserve"> p. 8 </w:t>
      </w:r>
      <w:hyperlink r:id="rId32" w:history="1">
        <w:r w:rsidRPr="009A0C7F">
          <w:rPr>
            <w:rStyle w:val="Lienhypertexte"/>
            <w:rFonts w:ascii="Verdana" w:hAnsi="Verdana"/>
            <w:sz w:val="20"/>
            <w:szCs w:val="20"/>
            <w:lang w:val="nl-NL"/>
          </w:rPr>
          <w:t>http://nautilus.parlement-wallon.be/Archives/2014_2015/CRAC/crac166.pdf</w:t>
        </w:r>
      </w:hyperlink>
      <w:r w:rsidRPr="009A0C7F">
        <w:rPr>
          <w:rFonts w:ascii="Verdana" w:hAnsi="Verdana"/>
          <w:sz w:val="20"/>
          <w:szCs w:val="20"/>
          <w:lang w:val="nl-NL"/>
        </w:rPr>
        <w:t xml:space="preserve"> </w:t>
      </w:r>
    </w:p>
  </w:footnote>
  <w:footnote w:id="33">
    <w:p w14:paraId="2CB24B99" w14:textId="77777777" w:rsidR="002834DD" w:rsidRPr="009A0C7F" w:rsidRDefault="002834DD" w:rsidP="00421E0A">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nl-NL"/>
        </w:rPr>
        <w:t xml:space="preserve">Comme expliqué ici par la Commission européenne elle-même </w:t>
      </w:r>
      <w:hyperlink r:id="rId33" w:history="1">
        <w:r w:rsidRPr="009A0C7F">
          <w:rPr>
            <w:rStyle w:val="Lienhypertexte"/>
            <w:rFonts w:ascii="Verdana" w:hAnsi="Verdana"/>
            <w:sz w:val="20"/>
            <w:szCs w:val="20"/>
            <w:lang w:val="nl-NL"/>
          </w:rPr>
          <w:t>http://trade.ec.europa.eu/doclib/docs/2016/april/tradoc_154427.pdf</w:t>
        </w:r>
      </w:hyperlink>
      <w:r w:rsidRPr="009A0C7F">
        <w:rPr>
          <w:rFonts w:ascii="Verdana" w:hAnsi="Verdana"/>
          <w:sz w:val="20"/>
          <w:szCs w:val="20"/>
          <w:lang w:val="nl-NL"/>
        </w:rPr>
        <w:t xml:space="preserve"> </w:t>
      </w:r>
    </w:p>
  </w:footnote>
  <w:footnote w:id="34">
    <w:p w14:paraId="0630EB74" w14:textId="77777777" w:rsidR="002834DD" w:rsidRPr="009A0C7F" w:rsidRDefault="002834DD" w:rsidP="0077554B">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lang w:val="nl-NL"/>
        </w:rPr>
        <w:t xml:space="preserve"> </w:t>
      </w:r>
      <w:hyperlink r:id="rId34" w:anchor="Quel%20est%20le%20champ%20d'application%20du%20TTIP" w:history="1">
        <w:r w:rsidRPr="009A0C7F">
          <w:rPr>
            <w:rStyle w:val="Lienhypertexte"/>
            <w:rFonts w:ascii="Verdana" w:hAnsi="Verdana"/>
            <w:sz w:val="20"/>
            <w:szCs w:val="20"/>
            <w:lang w:val="nl-NL"/>
          </w:rPr>
          <w:t>https://www.csee-etuce.org/fr/actions/campaigns/exclude-education-from-ttip/292-what-is-the-ttip-2#Quel%20est%20le%20champ%20d'application%20du%20TTIP</w:t>
        </w:r>
      </w:hyperlink>
      <w:r w:rsidRPr="009A0C7F">
        <w:rPr>
          <w:rFonts w:ascii="Verdana" w:hAnsi="Verdana"/>
          <w:sz w:val="20"/>
          <w:szCs w:val="20"/>
          <w:lang w:val="nl-NL"/>
        </w:rPr>
        <w:t xml:space="preserve">? </w:t>
      </w:r>
    </w:p>
  </w:footnote>
  <w:footnote w:id="35">
    <w:p w14:paraId="1DC577B1" w14:textId="77777777" w:rsidR="002834DD" w:rsidRPr="009A0C7F" w:rsidRDefault="002834DD" w:rsidP="0077554B">
      <w:pPr>
        <w:rPr>
          <w:rFonts w:ascii="Verdana" w:hAnsi="Verdana"/>
          <w:i/>
          <w:color w:val="000000" w:themeColor="text1"/>
          <w:sz w:val="20"/>
          <w:szCs w:val="20"/>
          <w:lang w:val="en-US"/>
        </w:rPr>
      </w:pPr>
      <w:r w:rsidRPr="009A0C7F">
        <w:rPr>
          <w:rStyle w:val="Appelnotedebasdep"/>
          <w:rFonts w:ascii="Verdana" w:hAnsi="Verdana"/>
          <w:sz w:val="20"/>
          <w:szCs w:val="20"/>
        </w:rPr>
        <w:footnoteRef/>
      </w:r>
      <w:r w:rsidRPr="009A0C7F">
        <w:rPr>
          <w:rFonts w:ascii="Verdana" w:hAnsi="Verdana"/>
          <w:sz w:val="20"/>
          <w:szCs w:val="20"/>
          <w:lang w:val="en-US"/>
        </w:rPr>
        <w:t xml:space="preserve"> </w:t>
      </w:r>
      <w:r w:rsidRPr="009A0C7F">
        <w:rPr>
          <w:rFonts w:ascii="Verdana" w:hAnsi="Verdana"/>
          <w:i/>
          <w:color w:val="000000" w:themeColor="text1"/>
          <w:sz w:val="20"/>
          <w:szCs w:val="20"/>
          <w:lang w:val="en-US"/>
        </w:rPr>
        <w:t xml:space="preserve">Existing Measures: </w:t>
      </w:r>
    </w:p>
    <w:p w14:paraId="3B8D7DC5" w14:textId="77777777" w:rsidR="002834DD" w:rsidRPr="009A0C7F" w:rsidRDefault="002834DD" w:rsidP="0077554B">
      <w:pPr>
        <w:rPr>
          <w:rFonts w:ascii="Verdana" w:hAnsi="Verdana"/>
          <w:i/>
          <w:color w:val="000000" w:themeColor="text1"/>
          <w:sz w:val="20"/>
          <w:szCs w:val="20"/>
          <w:lang w:val="en-US"/>
        </w:rPr>
      </w:pPr>
      <w:r w:rsidRPr="009A0C7F">
        <w:rPr>
          <w:rFonts w:ascii="Verdana" w:hAnsi="Verdana"/>
          <w:i/>
          <w:color w:val="000000" w:themeColor="text1"/>
          <w:sz w:val="20"/>
          <w:szCs w:val="20"/>
          <w:lang w:val="en-US"/>
        </w:rPr>
        <w:t xml:space="preserve">Sector: Education services </w:t>
      </w:r>
    </w:p>
    <w:p w14:paraId="3E1EB872" w14:textId="77777777" w:rsidR="002834DD" w:rsidRPr="009A0C7F" w:rsidRDefault="002834DD" w:rsidP="0077554B">
      <w:pPr>
        <w:rPr>
          <w:rFonts w:ascii="Verdana" w:hAnsi="Verdana"/>
          <w:i/>
          <w:color w:val="000000" w:themeColor="text1"/>
          <w:sz w:val="20"/>
          <w:szCs w:val="20"/>
          <w:lang w:val="en-US"/>
        </w:rPr>
      </w:pPr>
      <w:r w:rsidRPr="009A0C7F">
        <w:rPr>
          <w:rFonts w:ascii="Verdana" w:hAnsi="Verdana"/>
          <w:i/>
          <w:color w:val="000000" w:themeColor="text1"/>
          <w:sz w:val="20"/>
          <w:szCs w:val="20"/>
          <w:lang w:val="en-US"/>
        </w:rPr>
        <w:t xml:space="preserve">Sub-Sector: </w:t>
      </w:r>
    </w:p>
    <w:p w14:paraId="3B96CB00" w14:textId="77777777" w:rsidR="002834DD" w:rsidRPr="009A0C7F" w:rsidRDefault="002834DD" w:rsidP="0077554B">
      <w:pPr>
        <w:rPr>
          <w:rFonts w:ascii="Verdana" w:hAnsi="Verdana"/>
          <w:i/>
          <w:color w:val="000000" w:themeColor="text1"/>
          <w:sz w:val="20"/>
          <w:szCs w:val="20"/>
          <w:lang w:val="en-US"/>
        </w:rPr>
      </w:pPr>
      <w:r w:rsidRPr="009A0C7F">
        <w:rPr>
          <w:rFonts w:ascii="Verdana" w:hAnsi="Verdana"/>
          <w:i/>
          <w:color w:val="000000" w:themeColor="text1"/>
          <w:sz w:val="20"/>
          <w:szCs w:val="20"/>
          <w:lang w:val="en-US"/>
        </w:rPr>
        <w:t xml:space="preserve">Industry Classification: CPC 92 </w:t>
      </w:r>
    </w:p>
    <w:p w14:paraId="22F693D2" w14:textId="77777777" w:rsidR="002834DD" w:rsidRPr="009A0C7F" w:rsidRDefault="002834DD" w:rsidP="0077554B">
      <w:pPr>
        <w:rPr>
          <w:rFonts w:ascii="Verdana" w:hAnsi="Verdana"/>
          <w:i/>
          <w:color w:val="000000" w:themeColor="text1"/>
          <w:sz w:val="20"/>
          <w:szCs w:val="20"/>
          <w:lang w:val="en-US"/>
        </w:rPr>
      </w:pPr>
      <w:r w:rsidRPr="009A0C7F">
        <w:rPr>
          <w:rFonts w:ascii="Verdana" w:hAnsi="Verdana"/>
          <w:i/>
          <w:color w:val="000000" w:themeColor="text1"/>
          <w:sz w:val="20"/>
          <w:szCs w:val="20"/>
          <w:lang w:val="en-US"/>
        </w:rPr>
        <w:t xml:space="preserve">Type of Reservation: Market access </w:t>
      </w:r>
    </w:p>
    <w:p w14:paraId="6891AA71" w14:textId="77777777" w:rsidR="002834DD" w:rsidRPr="009A0C7F" w:rsidRDefault="002834DD" w:rsidP="0077554B">
      <w:pPr>
        <w:ind w:left="1416"/>
        <w:rPr>
          <w:rFonts w:ascii="Verdana" w:hAnsi="Verdana"/>
          <w:i/>
          <w:color w:val="000000" w:themeColor="text1"/>
          <w:sz w:val="20"/>
          <w:szCs w:val="20"/>
          <w:lang w:val="en-US"/>
        </w:rPr>
      </w:pPr>
      <w:r w:rsidRPr="009A0C7F">
        <w:rPr>
          <w:rFonts w:ascii="Verdana" w:hAnsi="Verdana"/>
          <w:i/>
          <w:color w:val="000000" w:themeColor="text1"/>
          <w:sz w:val="20"/>
          <w:szCs w:val="20"/>
          <w:lang w:val="en-US"/>
        </w:rPr>
        <w:t xml:space="preserve">      National treatment</w:t>
      </w:r>
    </w:p>
    <w:p w14:paraId="37449202" w14:textId="77777777" w:rsidR="002834DD" w:rsidRPr="009A0C7F" w:rsidRDefault="002834DD" w:rsidP="0077554B">
      <w:pPr>
        <w:ind w:left="708" w:firstLine="708"/>
        <w:rPr>
          <w:rFonts w:ascii="Verdana" w:hAnsi="Verdana"/>
          <w:i/>
          <w:color w:val="000000" w:themeColor="text1"/>
          <w:sz w:val="20"/>
          <w:szCs w:val="20"/>
          <w:lang w:val="en-US"/>
        </w:rPr>
      </w:pPr>
      <w:r w:rsidRPr="009A0C7F">
        <w:rPr>
          <w:rFonts w:ascii="Verdana" w:hAnsi="Verdana"/>
          <w:i/>
          <w:color w:val="000000" w:themeColor="text1"/>
          <w:sz w:val="20"/>
          <w:szCs w:val="20"/>
          <w:lang w:val="en-US"/>
        </w:rPr>
        <w:t xml:space="preserve">      Performance requirements </w:t>
      </w:r>
    </w:p>
    <w:p w14:paraId="5CA23236" w14:textId="77777777" w:rsidR="002834DD" w:rsidRPr="009A0C7F" w:rsidRDefault="002834DD" w:rsidP="0077554B">
      <w:pPr>
        <w:ind w:left="708" w:firstLine="708"/>
        <w:rPr>
          <w:rFonts w:ascii="Verdana" w:hAnsi="Verdana"/>
          <w:i/>
          <w:color w:val="000000" w:themeColor="text1"/>
          <w:sz w:val="20"/>
          <w:szCs w:val="20"/>
          <w:lang w:val="en-US"/>
        </w:rPr>
      </w:pPr>
      <w:r w:rsidRPr="009A0C7F">
        <w:rPr>
          <w:rFonts w:ascii="Verdana" w:hAnsi="Verdana"/>
          <w:i/>
          <w:color w:val="000000" w:themeColor="text1"/>
          <w:sz w:val="20"/>
          <w:szCs w:val="20"/>
          <w:lang w:val="en-US"/>
        </w:rPr>
        <w:t xml:space="preserve">     Senior management and boards of directors </w:t>
      </w:r>
    </w:p>
    <w:p w14:paraId="556D3980" w14:textId="77777777" w:rsidR="002834DD" w:rsidRPr="009A0C7F" w:rsidRDefault="002834DD" w:rsidP="0077554B">
      <w:pPr>
        <w:rPr>
          <w:rFonts w:ascii="Verdana" w:hAnsi="Verdana"/>
          <w:i/>
          <w:color w:val="000000" w:themeColor="text1"/>
          <w:sz w:val="20"/>
          <w:szCs w:val="20"/>
          <w:lang w:val="en-US"/>
        </w:rPr>
      </w:pPr>
      <w:r w:rsidRPr="009A0C7F">
        <w:rPr>
          <w:rFonts w:ascii="Verdana" w:hAnsi="Verdana"/>
          <w:i/>
          <w:color w:val="000000" w:themeColor="text1"/>
          <w:sz w:val="20"/>
          <w:szCs w:val="20"/>
          <w:lang w:val="en-US"/>
        </w:rPr>
        <w:t xml:space="preserve">Description: Investment and Cross-Border Trade in Services </w:t>
      </w:r>
    </w:p>
    <w:p w14:paraId="5A43D551" w14:textId="77777777" w:rsidR="002834DD" w:rsidRPr="009A0C7F" w:rsidRDefault="002834DD" w:rsidP="0077554B">
      <w:pPr>
        <w:rPr>
          <w:rFonts w:ascii="Verdana" w:hAnsi="Verdana"/>
          <w:i/>
          <w:color w:val="000000" w:themeColor="text1"/>
          <w:sz w:val="20"/>
          <w:szCs w:val="20"/>
          <w:lang w:val="en-US"/>
        </w:rPr>
      </w:pPr>
      <w:r w:rsidRPr="009A0C7F">
        <w:rPr>
          <w:rFonts w:ascii="Verdana" w:hAnsi="Verdana"/>
          <w:i/>
          <w:color w:val="000000" w:themeColor="text1"/>
          <w:sz w:val="20"/>
          <w:szCs w:val="20"/>
          <w:lang w:val="en-US"/>
        </w:rPr>
        <w:t xml:space="preserve">The EU reserves the right to adopt or maintain any measure with regard to the supply of all educational services which receive public funding or State support in any form, and are therefore not considered to be privately funded. </w:t>
      </w:r>
    </w:p>
    <w:p w14:paraId="775B5AE4" w14:textId="77777777" w:rsidR="002834DD" w:rsidRPr="009A0C7F" w:rsidRDefault="002834DD" w:rsidP="0077554B">
      <w:pPr>
        <w:rPr>
          <w:rFonts w:ascii="Verdana" w:hAnsi="Verdana"/>
          <w:i/>
          <w:color w:val="000000" w:themeColor="text1"/>
          <w:sz w:val="20"/>
          <w:szCs w:val="20"/>
          <w:lang w:val="en-US"/>
        </w:rPr>
      </w:pPr>
      <w:r w:rsidRPr="009A0C7F">
        <w:rPr>
          <w:rFonts w:ascii="Verdana" w:hAnsi="Verdana"/>
          <w:i/>
          <w:color w:val="000000" w:themeColor="text1"/>
          <w:sz w:val="20"/>
          <w:szCs w:val="20"/>
          <w:lang w:val="en-US"/>
        </w:rPr>
        <w:t xml:space="preserve">The EU, with the exception of CZ, NL, SE and SK, reserves the right to adopt or maintain any measure with respect to the supply of privately funded other education services, which means other than those classified as being primary, secondary, higher and adult education services. </w:t>
      </w:r>
    </w:p>
    <w:p w14:paraId="06BACE33" w14:textId="77777777" w:rsidR="002834DD" w:rsidRPr="009A0C7F" w:rsidRDefault="002834DD" w:rsidP="0077554B">
      <w:pPr>
        <w:rPr>
          <w:rFonts w:ascii="Verdana" w:hAnsi="Verdana"/>
          <w:i/>
          <w:color w:val="000000" w:themeColor="text1"/>
          <w:sz w:val="20"/>
          <w:szCs w:val="20"/>
          <w:lang w:val="en-US"/>
        </w:rPr>
      </w:pPr>
      <w:r w:rsidRPr="009A0C7F">
        <w:rPr>
          <w:rFonts w:ascii="Verdana" w:hAnsi="Verdana"/>
          <w:i/>
          <w:color w:val="000000" w:themeColor="text1"/>
          <w:sz w:val="20"/>
          <w:szCs w:val="20"/>
          <w:lang w:val="en-US"/>
        </w:rPr>
        <w:t xml:space="preserve">Where the supply of privately funded education services by a foreign provider is permitted, participation of private operators in the education system may be subject to concession allocated on a non-discriminatory basis. </w:t>
      </w:r>
    </w:p>
    <w:p w14:paraId="47852742" w14:textId="77777777" w:rsidR="002834DD" w:rsidRPr="009A0C7F" w:rsidRDefault="002834DD" w:rsidP="0077554B">
      <w:pPr>
        <w:rPr>
          <w:rFonts w:ascii="Verdana" w:hAnsi="Verdana"/>
          <w:i/>
          <w:color w:val="000000" w:themeColor="text1"/>
          <w:sz w:val="20"/>
          <w:szCs w:val="20"/>
          <w:lang w:val="en-US"/>
        </w:rPr>
      </w:pPr>
      <w:r w:rsidRPr="009A0C7F">
        <w:rPr>
          <w:rFonts w:ascii="Verdana" w:hAnsi="Verdana"/>
          <w:i/>
          <w:color w:val="000000" w:themeColor="text1"/>
          <w:sz w:val="20"/>
          <w:szCs w:val="20"/>
          <w:lang w:val="en-US"/>
        </w:rPr>
        <w:t>National complementary reservations may be found in the schedules of reservations applicable in AT, BG, CY, CZ, FI, FR, IT, MT, RO, SE, SI, and SK</w:t>
      </w:r>
    </w:p>
    <w:p w14:paraId="5A3FF9AC" w14:textId="77777777" w:rsidR="002834DD" w:rsidRPr="009A0C7F" w:rsidRDefault="002834DD" w:rsidP="0077554B">
      <w:pPr>
        <w:rPr>
          <w:rFonts w:ascii="Verdana" w:hAnsi="Verdana"/>
          <w:color w:val="000000" w:themeColor="text1"/>
          <w:sz w:val="20"/>
          <w:szCs w:val="20"/>
          <w:lang w:val="nl-NL"/>
        </w:rPr>
      </w:pPr>
      <w:r w:rsidRPr="009A0C7F">
        <w:rPr>
          <w:rFonts w:ascii="Verdana" w:hAnsi="Verdana"/>
          <w:color w:val="000000" w:themeColor="text1"/>
          <w:sz w:val="20"/>
          <w:szCs w:val="20"/>
          <w:lang w:val="nl-NL"/>
        </w:rPr>
        <w:t xml:space="preserve">pp. 1304-1305 </w:t>
      </w:r>
      <w:hyperlink r:id="rId35" w:history="1">
        <w:r w:rsidRPr="009A0C7F">
          <w:rPr>
            <w:rStyle w:val="Lienhypertexte"/>
            <w:rFonts w:ascii="Verdana" w:hAnsi="Verdana"/>
            <w:sz w:val="20"/>
            <w:szCs w:val="20"/>
            <w:lang w:val="nl-NL"/>
          </w:rPr>
          <w:t>http://trade.ec.europa.eu/doclib/docs/2014/september/tradoc_152806.pdf</w:t>
        </w:r>
      </w:hyperlink>
      <w:r w:rsidRPr="009A0C7F">
        <w:rPr>
          <w:rFonts w:ascii="Verdana" w:hAnsi="Verdana"/>
          <w:color w:val="000000" w:themeColor="text1"/>
          <w:sz w:val="20"/>
          <w:szCs w:val="20"/>
          <w:lang w:val="nl-NL"/>
        </w:rPr>
        <w:t xml:space="preserve"> </w:t>
      </w:r>
    </w:p>
  </w:footnote>
  <w:footnote w:id="36">
    <w:p w14:paraId="635A2E7F" w14:textId="77777777" w:rsidR="002834DD" w:rsidRPr="009A0C7F" w:rsidRDefault="002834DD" w:rsidP="0077554B">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lang w:val="en-US"/>
        </w:rPr>
        <w:t xml:space="preserve"> </w:t>
      </w:r>
      <w:hyperlink r:id="rId36" w:history="1">
        <w:r w:rsidRPr="009A0C7F">
          <w:rPr>
            <w:rStyle w:val="Lienhypertexte"/>
            <w:rFonts w:ascii="Verdana" w:hAnsi="Verdana"/>
            <w:sz w:val="20"/>
            <w:szCs w:val="20"/>
            <w:lang w:val="en-US"/>
          </w:rPr>
          <w:t>https://www.csee-etuce.org/images/attachments/RP_20150115_TSem_TTIP_Vienna-FR.pdf</w:t>
        </w:r>
      </w:hyperlink>
      <w:r w:rsidRPr="009A0C7F">
        <w:rPr>
          <w:rFonts w:ascii="Verdana" w:hAnsi="Verdana"/>
          <w:sz w:val="20"/>
          <w:szCs w:val="20"/>
          <w:lang w:val="en-US"/>
        </w:rPr>
        <w:t xml:space="preserve"> </w:t>
      </w:r>
    </w:p>
  </w:footnote>
  <w:footnote w:id="37">
    <w:p w14:paraId="15B6B760" w14:textId="77777777" w:rsidR="002834DD" w:rsidRPr="009A0C7F" w:rsidRDefault="002834DD" w:rsidP="0077554B">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nl-NL"/>
        </w:rPr>
        <w:t xml:space="preserve">idem </w:t>
      </w:r>
    </w:p>
  </w:footnote>
  <w:footnote w:id="38">
    <w:p w14:paraId="1DA58D4F" w14:textId="77777777" w:rsidR="002834DD" w:rsidRPr="009A0C7F" w:rsidRDefault="002834DD" w:rsidP="0077554B">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37" w:history="1">
        <w:r w:rsidRPr="009A0C7F">
          <w:rPr>
            <w:rStyle w:val="Lienhypertexte"/>
            <w:rFonts w:ascii="Verdana" w:hAnsi="Verdana"/>
            <w:sz w:val="20"/>
            <w:szCs w:val="20"/>
          </w:rPr>
          <w:t>http://www.npr.org/sections/ed/2016/07/11/484364476/im-a-student-debt-slave-howd-we-get-here</w:t>
        </w:r>
      </w:hyperlink>
      <w:r w:rsidRPr="009A0C7F">
        <w:rPr>
          <w:rFonts w:ascii="Verdana" w:hAnsi="Verdana"/>
          <w:sz w:val="20"/>
          <w:szCs w:val="20"/>
        </w:rPr>
        <w:t xml:space="preserve"> </w:t>
      </w:r>
    </w:p>
  </w:footnote>
  <w:footnote w:id="39">
    <w:p w14:paraId="621080BF" w14:textId="77777777" w:rsidR="002834DD" w:rsidRPr="009A0C7F" w:rsidRDefault="002834DD" w:rsidP="0077554B">
      <w:pPr>
        <w:pStyle w:val="Notedebasdepage"/>
        <w:rPr>
          <w:rFonts w:ascii="Verdana" w:hAnsi="Verdana"/>
          <w:sz w:val="20"/>
          <w:szCs w:val="20"/>
          <w:lang w:val="fr-FR"/>
        </w:rPr>
      </w:pPr>
      <w:r w:rsidRPr="009A0C7F">
        <w:rPr>
          <w:rStyle w:val="Appelnotedebasdep"/>
          <w:rFonts w:ascii="Verdana" w:hAnsi="Verdana"/>
          <w:sz w:val="20"/>
          <w:szCs w:val="20"/>
        </w:rPr>
        <w:footnoteRef/>
      </w:r>
      <w:r w:rsidRPr="009A0C7F">
        <w:rPr>
          <w:rFonts w:ascii="Verdana" w:hAnsi="Verdana"/>
          <w:sz w:val="20"/>
          <w:szCs w:val="20"/>
          <w:lang w:val="en-US"/>
        </w:rPr>
        <w:t xml:space="preserve"> </w:t>
      </w:r>
      <w:r w:rsidRPr="009A0C7F">
        <w:rPr>
          <w:rFonts w:ascii="Verdana" w:hAnsi="Verdana"/>
          <w:i/>
          <w:sz w:val="20"/>
          <w:szCs w:val="20"/>
          <w:lang w:val="en-US"/>
        </w:rPr>
        <w:t>The provision of rail transport services requires a licence, which can only be granted to railway undertakings established in a Member State.</w:t>
      </w:r>
      <w:r w:rsidRPr="009A0C7F">
        <w:rPr>
          <w:rFonts w:ascii="Verdana" w:hAnsi="Verdana"/>
          <w:sz w:val="20"/>
          <w:szCs w:val="20"/>
          <w:lang w:val="en-US"/>
        </w:rPr>
        <w:t xml:space="preserve"> </w:t>
      </w:r>
      <w:r w:rsidRPr="009A0C7F">
        <w:rPr>
          <w:rFonts w:ascii="Verdana" w:hAnsi="Verdana"/>
          <w:sz w:val="20"/>
          <w:szCs w:val="20"/>
          <w:lang w:val="fr-FR"/>
        </w:rPr>
        <w:t>CETA p. 987 (</w:t>
      </w:r>
      <w:hyperlink r:id="rId38" w:history="1">
        <w:r w:rsidRPr="009A0C7F">
          <w:rPr>
            <w:rStyle w:val="Lienhypertexte"/>
            <w:rFonts w:ascii="Verdana" w:hAnsi="Verdana"/>
            <w:sz w:val="20"/>
            <w:szCs w:val="20"/>
            <w:lang w:val="fr-FR"/>
          </w:rPr>
          <w:t>http://trade.ec.europa.eu/doclib/docs/2014/september/tradoc_152806.pdf</w:t>
        </w:r>
      </w:hyperlink>
      <w:r w:rsidRPr="009A0C7F">
        <w:rPr>
          <w:rFonts w:ascii="Verdana" w:hAnsi="Verdana"/>
          <w:sz w:val="20"/>
          <w:szCs w:val="20"/>
          <w:lang w:val="fr-FR"/>
        </w:rPr>
        <w:t xml:space="preserve"> )</w:t>
      </w:r>
    </w:p>
  </w:footnote>
  <w:footnote w:id="40">
    <w:p w14:paraId="2E28078A" w14:textId="77777777" w:rsidR="002834DD" w:rsidRPr="009A0C7F" w:rsidRDefault="002834DD" w:rsidP="0077554B">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39" w:history="1">
        <w:r w:rsidRPr="009A0C7F">
          <w:rPr>
            <w:rStyle w:val="Lienhypertexte"/>
            <w:rFonts w:ascii="Verdana" w:hAnsi="Verdana"/>
            <w:sz w:val="20"/>
            <w:szCs w:val="20"/>
          </w:rPr>
          <w:t>http://www.cgspwallonne.be/images/documentations/dossiers_thematiques/Dossier_cheminots_tribune_long.pdf</w:t>
        </w:r>
      </w:hyperlink>
      <w:r w:rsidRPr="009A0C7F">
        <w:rPr>
          <w:rFonts w:ascii="Verdana" w:hAnsi="Verdana"/>
          <w:sz w:val="20"/>
          <w:szCs w:val="20"/>
        </w:rPr>
        <w:t xml:space="preserve"> </w:t>
      </w:r>
    </w:p>
  </w:footnote>
  <w:footnote w:id="41">
    <w:p w14:paraId="50B5FF0A" w14:textId="77777777" w:rsidR="002834DD" w:rsidRPr="009A0C7F" w:rsidRDefault="002834DD" w:rsidP="0077554B">
      <w:pPr>
        <w:pStyle w:val="Notedebasdepage"/>
        <w:rPr>
          <w:rFonts w:ascii="Verdana" w:hAnsi="Verdana"/>
          <w:sz w:val="20"/>
          <w:szCs w:val="20"/>
          <w:lang w:val="fr-FR"/>
        </w:rPr>
      </w:pPr>
      <w:r w:rsidRPr="009A0C7F">
        <w:rPr>
          <w:rStyle w:val="Appelnotedebasdep"/>
          <w:rFonts w:ascii="Verdana" w:hAnsi="Verdana"/>
          <w:sz w:val="20"/>
          <w:szCs w:val="20"/>
        </w:rPr>
        <w:footnoteRef/>
      </w:r>
      <w:r w:rsidRPr="009A0C7F">
        <w:rPr>
          <w:rFonts w:ascii="Verdana" w:hAnsi="Verdana"/>
          <w:sz w:val="20"/>
          <w:szCs w:val="20"/>
        </w:rPr>
        <w:t xml:space="preserve"> Analyse fournie sur demande à la CSC Transcom en juillet 2016, peut-être à approfondir avec eux. </w:t>
      </w:r>
      <w:r w:rsidRPr="009A0C7F">
        <w:rPr>
          <w:rFonts w:ascii="Verdana" w:hAnsi="Verdana"/>
          <w:b/>
          <w:i/>
          <w:iCs/>
          <w:sz w:val="20"/>
          <w:szCs w:val="20"/>
          <w:lang w:val="fr-FR"/>
        </w:rPr>
        <w:t xml:space="preserve">(Sources fournies: </w:t>
      </w:r>
      <w:hyperlink r:id="rId40" w:tgtFrame="_blank" w:history="1">
        <w:r w:rsidRPr="009A0C7F">
          <w:rPr>
            <w:rStyle w:val="Lienhypertexte"/>
            <w:rFonts w:ascii="Verdana" w:hAnsi="Verdana"/>
            <w:i/>
            <w:iCs/>
            <w:sz w:val="20"/>
            <w:szCs w:val="20"/>
            <w:lang w:val="fr-FR"/>
          </w:rPr>
          <w:t>Commission européenne</w:t>
        </w:r>
      </w:hyperlink>
      <w:r w:rsidRPr="009A0C7F">
        <w:rPr>
          <w:rFonts w:ascii="Verdana" w:hAnsi="Verdana"/>
          <w:b/>
          <w:i/>
          <w:iCs/>
          <w:sz w:val="20"/>
          <w:szCs w:val="20"/>
          <w:lang w:val="fr-FR"/>
        </w:rPr>
        <w:t xml:space="preserve">, </w:t>
      </w:r>
      <w:hyperlink r:id="rId41" w:tgtFrame="_blank" w:history="1">
        <w:r w:rsidRPr="009A0C7F">
          <w:rPr>
            <w:rStyle w:val="Lienhypertexte"/>
            <w:rFonts w:ascii="Verdana" w:hAnsi="Verdana"/>
            <w:i/>
            <w:iCs/>
            <w:sz w:val="20"/>
            <w:szCs w:val="20"/>
            <w:lang w:val="fr-FR"/>
          </w:rPr>
          <w:t>note d'information du service de recherche du PE</w:t>
        </w:r>
      </w:hyperlink>
      <w:r w:rsidRPr="009A0C7F">
        <w:rPr>
          <w:rFonts w:ascii="Verdana" w:hAnsi="Verdana"/>
          <w:b/>
          <w:i/>
          <w:iCs/>
          <w:sz w:val="20"/>
          <w:szCs w:val="20"/>
          <w:lang w:val="fr-FR"/>
        </w:rPr>
        <w:t>)</w:t>
      </w:r>
    </w:p>
  </w:footnote>
  <w:footnote w:id="42">
    <w:p w14:paraId="71060E87" w14:textId="77777777" w:rsidR="002834DD" w:rsidRPr="009A0C7F" w:rsidRDefault="002834DD" w:rsidP="0077554B">
      <w:pPr>
        <w:pStyle w:val="Notedebasdepage"/>
        <w:rPr>
          <w:rFonts w:ascii="Verdana" w:hAnsi="Verdana"/>
          <w:i/>
          <w:sz w:val="20"/>
          <w:szCs w:val="20"/>
          <w:lang w:val="en-US"/>
        </w:rPr>
      </w:pPr>
      <w:r w:rsidRPr="009A0C7F">
        <w:rPr>
          <w:rStyle w:val="Appelnotedebasdep"/>
          <w:rFonts w:ascii="Verdana" w:hAnsi="Verdana"/>
          <w:sz w:val="20"/>
          <w:szCs w:val="20"/>
        </w:rPr>
        <w:footnoteRef/>
      </w:r>
      <w:r w:rsidRPr="009A0C7F">
        <w:rPr>
          <w:rFonts w:ascii="Verdana" w:hAnsi="Verdana"/>
          <w:sz w:val="20"/>
          <w:szCs w:val="20"/>
          <w:lang w:val="en-US"/>
        </w:rPr>
        <w:t xml:space="preserve"> </w:t>
      </w:r>
      <w:r w:rsidRPr="009A0C7F">
        <w:rPr>
          <w:rFonts w:ascii="Verdana" w:hAnsi="Verdana"/>
          <w:i/>
          <w:sz w:val="20"/>
          <w:szCs w:val="20"/>
          <w:lang w:val="en-US"/>
        </w:rPr>
        <w:t xml:space="preserve">Railway transport Code of the Republic of Lithuania of 22 April 2004 No.IX-2152 as amended by 8 June 2006 No.X-653. </w:t>
      </w:r>
    </w:p>
    <w:p w14:paraId="10684077" w14:textId="77777777" w:rsidR="002834DD" w:rsidRPr="009A0C7F" w:rsidRDefault="002834DD" w:rsidP="0077554B">
      <w:pPr>
        <w:pStyle w:val="Notedebasdepage"/>
        <w:rPr>
          <w:rFonts w:ascii="Verdana" w:hAnsi="Verdana"/>
          <w:i/>
          <w:sz w:val="20"/>
          <w:szCs w:val="20"/>
          <w:lang w:val="en-US"/>
        </w:rPr>
      </w:pPr>
      <w:r w:rsidRPr="009A0C7F">
        <w:rPr>
          <w:rFonts w:ascii="Verdana" w:hAnsi="Verdana"/>
          <w:b/>
          <w:bCs/>
          <w:i/>
          <w:sz w:val="20"/>
          <w:szCs w:val="20"/>
          <w:lang w:val="en-US"/>
        </w:rPr>
        <w:t xml:space="preserve">Investment </w:t>
      </w:r>
    </w:p>
    <w:p w14:paraId="0A7DCC9B" w14:textId="77777777" w:rsidR="002834DD" w:rsidRPr="009A0C7F" w:rsidRDefault="002834DD" w:rsidP="0077554B">
      <w:pPr>
        <w:pStyle w:val="Notedebasdepage"/>
        <w:rPr>
          <w:rFonts w:ascii="Verdana" w:hAnsi="Verdana"/>
          <w:i/>
          <w:sz w:val="20"/>
          <w:szCs w:val="20"/>
          <w:lang w:val="en-US"/>
        </w:rPr>
      </w:pPr>
      <w:r w:rsidRPr="009A0C7F">
        <w:rPr>
          <w:rFonts w:ascii="Verdana" w:hAnsi="Verdana"/>
          <w:i/>
          <w:sz w:val="20"/>
          <w:szCs w:val="20"/>
          <w:lang w:val="en-US"/>
        </w:rPr>
        <w:t xml:space="preserve">The exclusive rights for the provision of transit services are granted to railway undertakings which are owned, or whose stock is 100% owned, by the State., </w:t>
      </w:r>
    </w:p>
    <w:p w14:paraId="171F12B4" w14:textId="77777777" w:rsidR="002834DD" w:rsidRPr="009A0C7F" w:rsidRDefault="002834DD" w:rsidP="0077554B">
      <w:pPr>
        <w:pStyle w:val="Notedebasdepage"/>
        <w:rPr>
          <w:rFonts w:ascii="Verdana" w:hAnsi="Verdana"/>
          <w:i/>
          <w:sz w:val="20"/>
          <w:szCs w:val="20"/>
          <w:lang w:val="en-US"/>
        </w:rPr>
      </w:pPr>
      <w:r w:rsidRPr="009A0C7F">
        <w:rPr>
          <w:rFonts w:ascii="Verdana" w:hAnsi="Verdana"/>
          <w:sz w:val="20"/>
          <w:szCs w:val="20"/>
          <w:lang w:val="en-US"/>
        </w:rPr>
        <w:t>CETA, Annex 1, p.1406</w:t>
      </w:r>
    </w:p>
  </w:footnote>
  <w:footnote w:id="43">
    <w:p w14:paraId="1E1D464E" w14:textId="77777777" w:rsidR="002834DD" w:rsidRPr="009A0C7F" w:rsidRDefault="002834DD" w:rsidP="0077554B">
      <w:pPr>
        <w:pStyle w:val="Notedebasdepage"/>
        <w:rPr>
          <w:rFonts w:ascii="Verdana" w:hAnsi="Verdana"/>
          <w:i/>
          <w:sz w:val="20"/>
          <w:szCs w:val="20"/>
          <w:lang w:val="en-US"/>
        </w:rPr>
      </w:pPr>
      <w:r w:rsidRPr="009A0C7F">
        <w:rPr>
          <w:rStyle w:val="Appelnotedebasdep"/>
          <w:rFonts w:ascii="Verdana" w:hAnsi="Verdana"/>
          <w:sz w:val="20"/>
          <w:szCs w:val="20"/>
        </w:rPr>
        <w:footnoteRef/>
      </w:r>
      <w:r w:rsidRPr="009A0C7F">
        <w:rPr>
          <w:rFonts w:ascii="Verdana" w:hAnsi="Verdana"/>
          <w:sz w:val="20"/>
          <w:szCs w:val="20"/>
          <w:lang w:val="en-US"/>
        </w:rPr>
        <w:t xml:space="preserve"> </w:t>
      </w:r>
      <w:r w:rsidRPr="009A0C7F">
        <w:rPr>
          <w:rFonts w:ascii="Verdana" w:hAnsi="Verdana"/>
          <w:i/>
          <w:sz w:val="20"/>
          <w:szCs w:val="20"/>
          <w:lang w:val="en-US"/>
        </w:rPr>
        <w:t xml:space="preserve">Finland reserves the right to adopt or maintain any measure with respect to cross-border provision of rail transport. </w:t>
      </w:r>
    </w:p>
    <w:p w14:paraId="641ED9AD" w14:textId="77777777" w:rsidR="002834DD" w:rsidRPr="009A0C7F" w:rsidRDefault="002834DD" w:rsidP="0077554B">
      <w:pPr>
        <w:pStyle w:val="Notedebasdepage"/>
        <w:rPr>
          <w:rFonts w:ascii="Verdana" w:hAnsi="Verdana"/>
          <w:i/>
          <w:sz w:val="20"/>
          <w:szCs w:val="20"/>
          <w:lang w:val="en-US"/>
        </w:rPr>
      </w:pPr>
      <w:r w:rsidRPr="009A0C7F">
        <w:rPr>
          <w:rFonts w:ascii="Verdana" w:hAnsi="Verdana"/>
          <w:i/>
          <w:sz w:val="20"/>
          <w:szCs w:val="20"/>
          <w:lang w:val="en-US"/>
        </w:rPr>
        <w:t>With regard to establishment of rail passenger transport services, currently, there are exclusive rights (granted to VR-Group Ltd that is 100% owned by the state) until 2017 in Helsinki Metropolitan Area and elsewhere until 2019 in this field, which may be renewed.</w:t>
      </w:r>
    </w:p>
    <w:p w14:paraId="0E91BCA9" w14:textId="77777777" w:rsidR="002834DD" w:rsidRPr="009A0C7F" w:rsidRDefault="002834DD" w:rsidP="0077554B">
      <w:pPr>
        <w:pStyle w:val="Notedebasdepage"/>
        <w:rPr>
          <w:rFonts w:ascii="Verdana" w:hAnsi="Verdana"/>
          <w:i/>
          <w:sz w:val="20"/>
          <w:szCs w:val="20"/>
          <w:lang w:val="en-US"/>
        </w:rPr>
      </w:pPr>
      <w:r w:rsidRPr="009A0C7F">
        <w:rPr>
          <w:rFonts w:ascii="Verdana" w:hAnsi="Verdana"/>
          <w:sz w:val="20"/>
          <w:szCs w:val="20"/>
          <w:lang w:val="en-US"/>
        </w:rPr>
        <w:t>CETA, Annex II, p. 1564</w:t>
      </w:r>
      <w:r w:rsidRPr="009A0C7F">
        <w:rPr>
          <w:rFonts w:ascii="Verdana" w:hAnsi="Verdana"/>
          <w:i/>
          <w:sz w:val="20"/>
          <w:szCs w:val="20"/>
          <w:lang w:val="en-US"/>
        </w:rPr>
        <w:t xml:space="preserve"> </w:t>
      </w:r>
    </w:p>
  </w:footnote>
  <w:footnote w:id="44">
    <w:p w14:paraId="4F0AEF6B" w14:textId="77777777" w:rsidR="002834DD" w:rsidRPr="009A0C7F" w:rsidRDefault="002834DD" w:rsidP="00421E0A">
      <w:pPr>
        <w:pStyle w:val="Notedebasdepage"/>
        <w:rPr>
          <w:rFonts w:ascii="Verdana" w:hAnsi="Verdana" w:cs="Arial"/>
          <w:sz w:val="20"/>
          <w:szCs w:val="20"/>
          <w:lang w:val="nl-NL"/>
        </w:rPr>
      </w:pPr>
      <w:r w:rsidRPr="009A0C7F">
        <w:rPr>
          <w:rStyle w:val="Appelnotedebasdep"/>
          <w:rFonts w:ascii="Verdana" w:hAnsi="Verdana" w:cs="Arial"/>
          <w:sz w:val="20"/>
          <w:szCs w:val="20"/>
        </w:rPr>
        <w:footnoteRef/>
      </w:r>
      <w:r w:rsidRPr="009A0C7F">
        <w:rPr>
          <w:rFonts w:ascii="Verdana" w:hAnsi="Verdana" w:cs="Arial"/>
          <w:sz w:val="20"/>
          <w:szCs w:val="20"/>
          <w:lang w:val="nl-NL"/>
        </w:rPr>
        <w:t xml:space="preserve"> </w:t>
      </w:r>
      <w:hyperlink r:id="rId42" w:history="1">
        <w:r w:rsidRPr="009A0C7F">
          <w:rPr>
            <w:rStyle w:val="Lienhypertexte"/>
            <w:rFonts w:ascii="Verdana" w:hAnsi="Verdana" w:cs="Arial"/>
            <w:sz w:val="20"/>
            <w:szCs w:val="20"/>
            <w:lang w:val="nl-NL"/>
          </w:rPr>
          <w:t>http://www.iaj-uim.org/iuw/wp-content/uploads/2015/11/EAJ-report-TIPP-Court-october.pdf</w:t>
        </w:r>
      </w:hyperlink>
      <w:r w:rsidRPr="009A0C7F">
        <w:rPr>
          <w:rFonts w:ascii="Verdana" w:hAnsi="Verdana" w:cs="Arial"/>
          <w:sz w:val="20"/>
          <w:szCs w:val="20"/>
          <w:lang w:val="nl-NL"/>
        </w:rPr>
        <w:t xml:space="preserve"> </w:t>
      </w:r>
    </w:p>
  </w:footnote>
  <w:footnote w:id="45">
    <w:p w14:paraId="718FB69B" w14:textId="77777777" w:rsidR="002834DD" w:rsidRPr="009A0C7F" w:rsidRDefault="002834DD" w:rsidP="00421E0A">
      <w:pPr>
        <w:pStyle w:val="Notedebasdepage"/>
        <w:rPr>
          <w:rFonts w:ascii="Verdana" w:hAnsi="Verdana" w:cs="Arial"/>
          <w:sz w:val="20"/>
          <w:szCs w:val="20"/>
          <w:lang w:val="nl-NL"/>
        </w:rPr>
      </w:pPr>
      <w:r w:rsidRPr="009A0C7F">
        <w:rPr>
          <w:rStyle w:val="Appelnotedebasdep"/>
          <w:rFonts w:ascii="Verdana" w:hAnsi="Verdana" w:cs="Arial"/>
          <w:sz w:val="20"/>
          <w:szCs w:val="20"/>
        </w:rPr>
        <w:footnoteRef/>
      </w:r>
      <w:r w:rsidRPr="009A0C7F">
        <w:rPr>
          <w:rFonts w:ascii="Verdana" w:hAnsi="Verdana" w:cs="Arial"/>
          <w:sz w:val="20"/>
          <w:szCs w:val="20"/>
          <w:lang w:val="nl-NL"/>
        </w:rPr>
        <w:t xml:space="preserve"> </w:t>
      </w:r>
      <w:hyperlink r:id="rId43" w:history="1">
        <w:r w:rsidRPr="009A0C7F">
          <w:rPr>
            <w:rStyle w:val="Lienhypertexte"/>
            <w:rFonts w:ascii="Verdana" w:hAnsi="Verdana" w:cs="Arial"/>
            <w:sz w:val="20"/>
            <w:szCs w:val="20"/>
            <w:lang w:val="nl-NL"/>
          </w:rPr>
          <w:t>http://www.dw.com/en/german-judges-slap-ttip-down/a-19027665</w:t>
        </w:r>
      </w:hyperlink>
      <w:r w:rsidRPr="009A0C7F">
        <w:rPr>
          <w:rFonts w:ascii="Verdana" w:hAnsi="Verdana" w:cs="Arial"/>
          <w:sz w:val="20"/>
          <w:szCs w:val="20"/>
          <w:lang w:val="nl-NL"/>
        </w:rPr>
        <w:t xml:space="preserve"> </w:t>
      </w:r>
    </w:p>
  </w:footnote>
  <w:footnote w:id="46">
    <w:p w14:paraId="315D573D" w14:textId="77777777" w:rsidR="002834DD" w:rsidRPr="009A0C7F" w:rsidRDefault="002834DD" w:rsidP="00421E0A">
      <w:pPr>
        <w:pStyle w:val="Notedebasdepage"/>
        <w:rPr>
          <w:rFonts w:ascii="Verdana" w:hAnsi="Verdana" w:cs="Arial"/>
          <w:sz w:val="20"/>
          <w:szCs w:val="20"/>
        </w:rPr>
      </w:pPr>
      <w:r w:rsidRPr="009A0C7F">
        <w:rPr>
          <w:rStyle w:val="Appelnotedebasdep"/>
          <w:rFonts w:ascii="Verdana" w:hAnsi="Verdana" w:cs="Arial"/>
          <w:sz w:val="20"/>
          <w:szCs w:val="20"/>
        </w:rPr>
        <w:footnoteRef/>
      </w:r>
      <w:r w:rsidRPr="009A0C7F">
        <w:rPr>
          <w:rFonts w:ascii="Verdana" w:hAnsi="Verdana" w:cs="Arial"/>
          <w:sz w:val="20"/>
          <w:szCs w:val="20"/>
          <w:lang w:val="en-US"/>
        </w:rPr>
        <w:t xml:space="preserve"> </w:t>
      </w:r>
      <w:r w:rsidRPr="009A0C7F">
        <w:rPr>
          <w:rFonts w:ascii="Verdana" w:hAnsi="Verdana" w:cs="Arial"/>
          <w:bCs/>
          <w:sz w:val="20"/>
          <w:szCs w:val="20"/>
          <w:lang w:val="en-US"/>
        </w:rPr>
        <w:t>Statement from the european association of judges (EAJ) on the proposal from the european commission on a new investment court system.</w:t>
      </w:r>
      <w:r w:rsidRPr="009A0C7F">
        <w:rPr>
          <w:rFonts w:ascii="Verdana" w:hAnsi="Verdana" w:cs="Arial"/>
          <w:b/>
          <w:bCs/>
          <w:sz w:val="20"/>
          <w:szCs w:val="20"/>
          <w:lang w:val="en-US"/>
        </w:rPr>
        <w:t xml:space="preserve"> </w:t>
      </w:r>
      <w:hyperlink r:id="rId44" w:history="1">
        <w:r w:rsidRPr="009A0C7F">
          <w:rPr>
            <w:rStyle w:val="Lienhypertexte"/>
            <w:rFonts w:ascii="Verdana" w:hAnsi="Verdana" w:cs="Arial"/>
            <w:sz w:val="20"/>
            <w:szCs w:val="20"/>
            <w:lang w:val="fr-FR"/>
          </w:rPr>
          <w:t>http://www.iaj-uim.org/iuw/wp-content/uploads/2015/11/EAJ-report-TIPP-Court-october.pdf</w:t>
        </w:r>
      </w:hyperlink>
      <w:r w:rsidRPr="009A0C7F">
        <w:rPr>
          <w:rFonts w:ascii="Verdana" w:hAnsi="Verdana" w:cs="Arial"/>
          <w:sz w:val="20"/>
          <w:szCs w:val="20"/>
          <w:u w:val="single"/>
          <w:lang w:val="fr-FR"/>
        </w:rPr>
        <w:t xml:space="preserve"> </w:t>
      </w:r>
    </w:p>
  </w:footnote>
  <w:footnote w:id="47">
    <w:p w14:paraId="64E88D9C" w14:textId="77777777" w:rsidR="002834DD" w:rsidRPr="009A0C7F" w:rsidRDefault="002834DD" w:rsidP="00421E0A">
      <w:pPr>
        <w:pStyle w:val="Notedebasdepage"/>
        <w:rPr>
          <w:rFonts w:ascii="Verdana" w:hAnsi="Verdana" w:cs="Arial"/>
          <w:sz w:val="20"/>
          <w:szCs w:val="20"/>
          <w:lang w:val="nl-NL"/>
        </w:rPr>
      </w:pPr>
      <w:r w:rsidRPr="009A0C7F">
        <w:rPr>
          <w:rStyle w:val="Appelnotedebasdep"/>
          <w:rFonts w:ascii="Verdana" w:hAnsi="Verdana" w:cs="Arial"/>
          <w:sz w:val="20"/>
          <w:szCs w:val="20"/>
        </w:rPr>
        <w:footnoteRef/>
      </w:r>
      <w:r w:rsidRPr="009A0C7F">
        <w:rPr>
          <w:rFonts w:ascii="Verdana" w:hAnsi="Verdana" w:cs="Arial"/>
          <w:sz w:val="20"/>
          <w:szCs w:val="20"/>
        </w:rPr>
        <w:t xml:space="preserve"> </w:t>
      </w:r>
      <w:hyperlink r:id="rId45" w:history="1">
        <w:r w:rsidRPr="009A0C7F">
          <w:rPr>
            <w:rStyle w:val="Lienhypertexte"/>
            <w:rFonts w:ascii="Verdana" w:hAnsi="Verdana" w:cs="Arial"/>
            <w:sz w:val="20"/>
            <w:szCs w:val="20"/>
          </w:rPr>
          <w:t>https://www.tni.org/en/publication/investment-court-system-put-to-the-test</w:t>
        </w:r>
      </w:hyperlink>
      <w:r w:rsidRPr="009A0C7F">
        <w:rPr>
          <w:rFonts w:ascii="Verdana" w:hAnsi="Verdana" w:cs="Arial"/>
          <w:sz w:val="20"/>
          <w:szCs w:val="20"/>
        </w:rPr>
        <w:t xml:space="preserve"> </w:t>
      </w:r>
    </w:p>
  </w:footnote>
  <w:footnote w:id="48">
    <w:p w14:paraId="488D7A54" w14:textId="77777777" w:rsidR="002834DD" w:rsidRPr="009A0C7F" w:rsidRDefault="002834DD" w:rsidP="00421E0A">
      <w:pPr>
        <w:pStyle w:val="Notedebasdepage"/>
        <w:rPr>
          <w:rFonts w:ascii="Verdana" w:hAnsi="Verdana" w:cs="Arial"/>
          <w:sz w:val="20"/>
          <w:szCs w:val="20"/>
          <w:lang w:val="nl-NL"/>
        </w:rPr>
      </w:pPr>
      <w:r w:rsidRPr="009A0C7F">
        <w:rPr>
          <w:rStyle w:val="Appelnotedebasdep"/>
          <w:rFonts w:ascii="Verdana" w:hAnsi="Verdana" w:cs="Arial"/>
          <w:sz w:val="20"/>
          <w:szCs w:val="20"/>
        </w:rPr>
        <w:footnoteRef/>
      </w:r>
      <w:r w:rsidRPr="009A0C7F">
        <w:rPr>
          <w:rFonts w:ascii="Verdana" w:hAnsi="Verdana" w:cs="Arial"/>
          <w:sz w:val="20"/>
          <w:szCs w:val="20"/>
        </w:rPr>
        <w:t xml:space="preserve"> </w:t>
      </w:r>
      <w:r w:rsidRPr="009A0C7F">
        <w:rPr>
          <w:rFonts w:ascii="Verdana" w:hAnsi="Verdana" w:cs="Arial"/>
          <w:sz w:val="20"/>
          <w:szCs w:val="20"/>
          <w:lang w:val="fr-FR"/>
        </w:rPr>
        <w:t>qui donnait une certaine place aux parties tierces concernées dans les procédures d’arbitrage</w:t>
      </w:r>
    </w:p>
  </w:footnote>
  <w:footnote w:id="49">
    <w:p w14:paraId="769ACE7D" w14:textId="77777777" w:rsidR="002834DD" w:rsidRPr="009A0C7F" w:rsidRDefault="002834DD" w:rsidP="00421E0A">
      <w:pPr>
        <w:pStyle w:val="Notedebasdepage"/>
        <w:rPr>
          <w:rFonts w:ascii="Verdana" w:hAnsi="Verdana" w:cs="Arial"/>
          <w:sz w:val="20"/>
          <w:szCs w:val="20"/>
          <w:lang w:val="en-US"/>
        </w:rPr>
      </w:pPr>
      <w:r w:rsidRPr="009A0C7F">
        <w:rPr>
          <w:rStyle w:val="Appelnotedebasdep"/>
          <w:rFonts w:ascii="Verdana" w:hAnsi="Verdana" w:cs="Arial"/>
          <w:sz w:val="20"/>
          <w:szCs w:val="20"/>
        </w:rPr>
        <w:footnoteRef/>
      </w:r>
      <w:r w:rsidRPr="009A0C7F">
        <w:rPr>
          <w:rFonts w:ascii="Verdana" w:hAnsi="Verdana" w:cs="Arial"/>
          <w:sz w:val="20"/>
          <w:szCs w:val="20"/>
          <w:lang w:val="en-US"/>
        </w:rPr>
        <w:t xml:space="preserve"> Van Harten, Gus, May 2016. </w:t>
      </w:r>
      <w:hyperlink r:id="rId46" w:tgtFrame="_blank" w:history="1">
        <w:r w:rsidRPr="009A0C7F">
          <w:rPr>
            <w:rStyle w:val="Lienhypertexte"/>
            <w:rFonts w:ascii="Verdana" w:hAnsi="Verdana" w:cs="Arial"/>
            <w:sz w:val="20"/>
            <w:szCs w:val="20"/>
            <w:lang w:val="en-US"/>
          </w:rPr>
          <w:t>http://ssrn.com/abstract=2784461</w:t>
        </w:r>
      </w:hyperlink>
    </w:p>
  </w:footnote>
  <w:footnote w:id="50">
    <w:p w14:paraId="15374871" w14:textId="647F4EDB" w:rsidR="002834DD" w:rsidRPr="009A0C7F" w:rsidRDefault="002834DD" w:rsidP="00094C95">
      <w:pPr>
        <w:pStyle w:val="Notedebasdepage"/>
        <w:rPr>
          <w:rFonts w:ascii="Verdana" w:hAnsi="Verdana"/>
          <w:sz w:val="20"/>
          <w:szCs w:val="20"/>
          <w:lang w:val="fr-FR"/>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fr-FR"/>
        </w:rPr>
        <w:t>Voir Public Citizen, Tens of Thousands of U.S. Firms Would Obtain New Powers to Launch Investor-State Attacks against European Policies via</w:t>
      </w:r>
    </w:p>
    <w:p w14:paraId="29BC3DEE" w14:textId="7F145F7E" w:rsidR="002834DD" w:rsidRPr="009A0C7F" w:rsidRDefault="002834DD" w:rsidP="00094C95">
      <w:pPr>
        <w:pStyle w:val="Notedebasdepage"/>
        <w:rPr>
          <w:rFonts w:ascii="Verdana" w:hAnsi="Verdana"/>
          <w:sz w:val="20"/>
          <w:szCs w:val="20"/>
          <w:lang w:val="nl-NL"/>
        </w:rPr>
      </w:pPr>
      <w:r w:rsidRPr="009A0C7F">
        <w:rPr>
          <w:rFonts w:ascii="Verdana" w:hAnsi="Verdana"/>
          <w:sz w:val="20"/>
          <w:szCs w:val="20"/>
          <w:lang w:val="fr-FR"/>
        </w:rPr>
        <w:t xml:space="preserve">CETA and TTIP, </w:t>
      </w:r>
      <w:hyperlink r:id="rId47" w:history="1">
        <w:r w:rsidRPr="009A0C7F">
          <w:rPr>
            <w:rStyle w:val="Lienhypertexte"/>
            <w:rFonts w:ascii="Verdana" w:hAnsi="Verdana"/>
            <w:sz w:val="20"/>
            <w:szCs w:val="20"/>
            <w:lang w:val="fr-FR"/>
          </w:rPr>
          <w:t>http://citizen.org/documents/EU-ISDS-liability.pdf</w:t>
        </w:r>
      </w:hyperlink>
      <w:r w:rsidRPr="009A0C7F">
        <w:rPr>
          <w:rFonts w:ascii="Verdana" w:hAnsi="Verdana"/>
          <w:sz w:val="20"/>
          <w:szCs w:val="20"/>
          <w:lang w:val="fr-FR"/>
        </w:rPr>
        <w:t xml:space="preserve"> </w:t>
      </w:r>
    </w:p>
  </w:footnote>
  <w:footnote w:id="51">
    <w:p w14:paraId="258452A6" w14:textId="77777777" w:rsidR="002834DD" w:rsidRPr="009A0C7F" w:rsidRDefault="002834DD" w:rsidP="00094C95">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48" w:history="1">
        <w:r w:rsidRPr="009A0C7F">
          <w:rPr>
            <w:rStyle w:val="Lienhypertexte"/>
            <w:rFonts w:ascii="Verdana" w:hAnsi="Verdana"/>
            <w:sz w:val="20"/>
            <w:szCs w:val="20"/>
          </w:rPr>
          <w:t>https://www.mygov.in/sites/default/files/master_image/Model%20Text%20for%20the%20Indian%20Bilateral%20Investment%20Treaty.pdf</w:t>
        </w:r>
      </w:hyperlink>
      <w:r w:rsidRPr="009A0C7F">
        <w:rPr>
          <w:rFonts w:ascii="Verdana" w:hAnsi="Verdana"/>
          <w:sz w:val="20"/>
          <w:szCs w:val="20"/>
        </w:rPr>
        <w:t xml:space="preserve"> </w:t>
      </w:r>
    </w:p>
  </w:footnote>
  <w:footnote w:id="52">
    <w:p w14:paraId="6063826B" w14:textId="77777777" w:rsidR="002834DD" w:rsidRPr="009A0C7F" w:rsidRDefault="002834DD" w:rsidP="00094C95">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Suite notamment à ce qu’un traité d’arbitrage signé par la Belgique a permis à un investisseur de faire reculer une politique de réparation post-Apartheit, voir </w:t>
      </w:r>
      <w:hyperlink r:id="rId49" w:history="1">
        <w:r w:rsidRPr="009A0C7F">
          <w:rPr>
            <w:rStyle w:val="Lienhypertexte"/>
            <w:rFonts w:ascii="Verdana" w:hAnsi="Verdana"/>
            <w:sz w:val="20"/>
            <w:szCs w:val="20"/>
          </w:rPr>
          <w:t>http://www.cncd.be/L-arbitrage-investisseur-Etat-un</w:t>
        </w:r>
      </w:hyperlink>
      <w:r w:rsidRPr="009A0C7F">
        <w:rPr>
          <w:rFonts w:ascii="Verdana" w:hAnsi="Verdana"/>
          <w:sz w:val="20"/>
          <w:szCs w:val="20"/>
        </w:rPr>
        <w:t xml:space="preserve"> et </w:t>
      </w:r>
      <w:hyperlink r:id="rId50" w:history="1">
        <w:r w:rsidRPr="009A0C7F">
          <w:rPr>
            <w:rStyle w:val="Lienhypertexte"/>
            <w:rFonts w:ascii="Verdana" w:hAnsi="Verdana"/>
            <w:sz w:val="20"/>
            <w:szCs w:val="20"/>
          </w:rPr>
          <w:t>http://www.iisd.org/itn/wp-content/uploads/2012/10/SADC-Model-BIT-Template-Final.pdf</w:t>
        </w:r>
      </w:hyperlink>
      <w:r w:rsidRPr="009A0C7F">
        <w:rPr>
          <w:rFonts w:ascii="Verdana" w:hAnsi="Verdana"/>
          <w:sz w:val="20"/>
          <w:szCs w:val="20"/>
        </w:rPr>
        <w:t xml:space="preserve"> </w:t>
      </w:r>
    </w:p>
  </w:footnote>
  <w:footnote w:id="53">
    <w:p w14:paraId="648F3416" w14:textId="77777777" w:rsidR="002834DD" w:rsidRPr="009A0C7F" w:rsidRDefault="002834DD" w:rsidP="00094C95">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51" w:history="1">
        <w:r w:rsidRPr="009A0C7F">
          <w:rPr>
            <w:rStyle w:val="Lienhypertexte"/>
            <w:rFonts w:ascii="Verdana" w:hAnsi="Verdana"/>
            <w:sz w:val="20"/>
            <w:szCs w:val="20"/>
          </w:rPr>
          <w:t>http://www.somo.nl/news-en/after-south-africa-indonesia-takes-a-brave-decision-to-terminate-its-bilateral-investment-treaty-with-the-netherlands</w:t>
        </w:r>
      </w:hyperlink>
      <w:r w:rsidRPr="009A0C7F">
        <w:rPr>
          <w:rFonts w:ascii="Verdana" w:hAnsi="Verdana"/>
          <w:sz w:val="20"/>
          <w:szCs w:val="20"/>
        </w:rPr>
        <w:t xml:space="preserve"> </w:t>
      </w:r>
    </w:p>
  </w:footnote>
  <w:footnote w:id="54">
    <w:p w14:paraId="64CE1B70" w14:textId="77777777" w:rsidR="002834DD" w:rsidRPr="009A0C7F" w:rsidRDefault="002834DD" w:rsidP="00094C95">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52" w:history="1">
        <w:r w:rsidRPr="009A0C7F">
          <w:rPr>
            <w:rStyle w:val="Lienhypertexte"/>
            <w:rFonts w:ascii="Verdana" w:hAnsi="Verdana"/>
            <w:sz w:val="20"/>
            <w:szCs w:val="20"/>
          </w:rPr>
          <w:t>http://kluwerarbitrationblog.com/2015/06/16/brazils-new-investment-treaties-outside-looking-out-2/</w:t>
        </w:r>
      </w:hyperlink>
      <w:r w:rsidRPr="009A0C7F">
        <w:rPr>
          <w:rFonts w:ascii="Verdana" w:hAnsi="Verdana"/>
          <w:sz w:val="20"/>
          <w:szCs w:val="20"/>
        </w:rPr>
        <w:t xml:space="preserve"> et </w:t>
      </w:r>
      <w:hyperlink r:id="rId53" w:history="1">
        <w:r w:rsidRPr="009A0C7F">
          <w:rPr>
            <w:rStyle w:val="Lienhypertexte"/>
            <w:rFonts w:ascii="Verdana" w:hAnsi="Verdana"/>
            <w:sz w:val="20"/>
            <w:szCs w:val="20"/>
          </w:rPr>
          <w:t>http://investmentpolicyhub.unctad.org/IIA/CountryBits/27</w:t>
        </w:r>
      </w:hyperlink>
      <w:r w:rsidRPr="009A0C7F">
        <w:rPr>
          <w:rFonts w:ascii="Verdana" w:hAnsi="Verdana"/>
          <w:sz w:val="20"/>
          <w:szCs w:val="20"/>
        </w:rPr>
        <w:t xml:space="preserve"> </w:t>
      </w:r>
    </w:p>
  </w:footnote>
  <w:footnote w:id="55">
    <w:p w14:paraId="51FF83A9" w14:textId="77777777" w:rsidR="002834DD" w:rsidRPr="009A0C7F" w:rsidRDefault="002834DD" w:rsidP="00094C95">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54" w:history="1">
        <w:r w:rsidRPr="009A0C7F">
          <w:rPr>
            <w:rStyle w:val="Lienhypertexte"/>
            <w:rFonts w:ascii="Verdana" w:hAnsi="Verdana"/>
            <w:sz w:val="20"/>
            <w:szCs w:val="20"/>
          </w:rPr>
          <w:t>http://www.liberation.fr/futurs/1998/10/15/jospin-adieu-l-ami-salut-les-copains-en-renoncant-a-faire-participer-la-france-aux-discussions-sur-l_250782</w:t>
        </w:r>
      </w:hyperlink>
      <w:r w:rsidRPr="009A0C7F">
        <w:rPr>
          <w:rFonts w:ascii="Verdana" w:hAnsi="Verdana"/>
          <w:sz w:val="20"/>
          <w:szCs w:val="20"/>
        </w:rPr>
        <w:t xml:space="preserve"> </w:t>
      </w:r>
    </w:p>
  </w:footnote>
  <w:footnote w:id="56">
    <w:p w14:paraId="2BF099C8" w14:textId="77777777" w:rsidR="002834DD" w:rsidRPr="009A0C7F" w:rsidRDefault="002834DD" w:rsidP="00421E0A">
      <w:pPr>
        <w:pStyle w:val="Notedebasdepage"/>
        <w:rPr>
          <w:rFonts w:ascii="Verdana" w:hAnsi="Verdana" w:cs="Arial"/>
          <w:sz w:val="20"/>
          <w:szCs w:val="20"/>
          <w:lang w:val="nl-NL"/>
        </w:rPr>
      </w:pPr>
      <w:r w:rsidRPr="009A0C7F">
        <w:rPr>
          <w:rStyle w:val="Appelnotedebasdep"/>
          <w:rFonts w:ascii="Verdana" w:hAnsi="Verdana" w:cs="Arial"/>
          <w:sz w:val="20"/>
          <w:szCs w:val="20"/>
        </w:rPr>
        <w:footnoteRef/>
      </w:r>
      <w:r w:rsidRPr="009A0C7F">
        <w:rPr>
          <w:rFonts w:ascii="Verdana" w:hAnsi="Verdana" w:cs="Arial"/>
          <w:sz w:val="20"/>
          <w:szCs w:val="20"/>
        </w:rPr>
        <w:t xml:space="preserve"> Sur base de nouveaux rapports analysant les violations des droits fondamentaux dans les chaines de production d’H&amp;M et GAP notamment, </w:t>
      </w:r>
      <w:hyperlink r:id="rId55" w:history="1">
        <w:r w:rsidRPr="009A0C7F">
          <w:rPr>
            <w:rStyle w:val="Lienhypertexte"/>
            <w:rFonts w:ascii="Verdana" w:hAnsi="Verdana" w:cs="Arial"/>
            <w:sz w:val="20"/>
            <w:szCs w:val="20"/>
          </w:rPr>
          <w:t>http://workersvoicesglobalsupplychain.org/</w:t>
        </w:r>
      </w:hyperlink>
      <w:r w:rsidRPr="009A0C7F">
        <w:rPr>
          <w:rFonts w:ascii="Verdana" w:hAnsi="Verdana" w:cs="Arial"/>
          <w:sz w:val="20"/>
          <w:szCs w:val="20"/>
        </w:rPr>
        <w:t xml:space="preserve"> </w:t>
      </w:r>
    </w:p>
  </w:footnote>
  <w:footnote w:id="57">
    <w:p w14:paraId="4848579C" w14:textId="77777777" w:rsidR="002834DD" w:rsidRPr="009A0C7F" w:rsidRDefault="002834DD" w:rsidP="00421E0A">
      <w:pPr>
        <w:pStyle w:val="Notedebasdepage"/>
        <w:rPr>
          <w:rFonts w:ascii="Verdana" w:hAnsi="Verdana" w:cs="Arial"/>
          <w:sz w:val="20"/>
          <w:szCs w:val="20"/>
          <w:lang w:val="nl-NL"/>
        </w:rPr>
      </w:pPr>
      <w:r w:rsidRPr="009A0C7F">
        <w:rPr>
          <w:rStyle w:val="Appelnotedebasdep"/>
          <w:rFonts w:ascii="Verdana" w:hAnsi="Verdana" w:cs="Arial"/>
          <w:sz w:val="20"/>
          <w:szCs w:val="20"/>
        </w:rPr>
        <w:footnoteRef/>
      </w:r>
      <w:r w:rsidRPr="009A0C7F">
        <w:rPr>
          <w:rFonts w:ascii="Verdana" w:hAnsi="Verdana" w:cs="Arial"/>
          <w:sz w:val="20"/>
          <w:szCs w:val="20"/>
          <w:lang w:val="nl-NL"/>
        </w:rPr>
        <w:t xml:space="preserve"> </w:t>
      </w:r>
      <w:hyperlink r:id="rId56" w:history="1">
        <w:r w:rsidRPr="009A0C7F">
          <w:rPr>
            <w:rStyle w:val="Lienhypertexte"/>
            <w:rFonts w:ascii="Verdana" w:hAnsi="Verdana" w:cs="Arial"/>
            <w:sz w:val="20"/>
            <w:szCs w:val="20"/>
            <w:lang w:val="nl-NL"/>
          </w:rPr>
          <w:t>http://www.cncd.be/Le-dumping-social-n-est-pas-une</w:t>
        </w:r>
      </w:hyperlink>
      <w:r w:rsidRPr="009A0C7F">
        <w:rPr>
          <w:rFonts w:ascii="Verdana" w:hAnsi="Verdana" w:cs="Arial"/>
          <w:sz w:val="20"/>
          <w:szCs w:val="20"/>
          <w:lang w:val="nl-NL"/>
        </w:rPr>
        <w:t xml:space="preserve"> </w:t>
      </w:r>
    </w:p>
  </w:footnote>
  <w:footnote w:id="58">
    <w:p w14:paraId="1A55E03A" w14:textId="77777777" w:rsidR="002834DD" w:rsidRPr="009A0C7F" w:rsidRDefault="002834DD" w:rsidP="00421E0A">
      <w:pPr>
        <w:pStyle w:val="Notedebasdepage"/>
        <w:rPr>
          <w:rFonts w:ascii="Verdana" w:hAnsi="Verdana" w:cs="Arial"/>
          <w:sz w:val="20"/>
          <w:szCs w:val="20"/>
          <w:lang w:val="nl-NL"/>
        </w:rPr>
      </w:pPr>
      <w:r w:rsidRPr="009A0C7F">
        <w:rPr>
          <w:rStyle w:val="Appelnotedebasdep"/>
          <w:rFonts w:ascii="Verdana" w:hAnsi="Verdana" w:cs="Arial"/>
          <w:sz w:val="20"/>
          <w:szCs w:val="20"/>
        </w:rPr>
        <w:footnoteRef/>
      </w:r>
      <w:r w:rsidRPr="009A0C7F">
        <w:rPr>
          <w:rFonts w:ascii="Verdana" w:hAnsi="Verdana" w:cs="Arial"/>
          <w:sz w:val="20"/>
          <w:szCs w:val="20"/>
        </w:rPr>
        <w:t xml:space="preserve"> Propos développé ici : </w:t>
      </w:r>
      <w:hyperlink r:id="rId57" w:history="1">
        <w:r w:rsidRPr="009A0C7F">
          <w:rPr>
            <w:rStyle w:val="Lienhypertexte"/>
            <w:rFonts w:ascii="Verdana" w:hAnsi="Verdana" w:cs="Arial"/>
            <w:color w:val="000000" w:themeColor="text1"/>
            <w:sz w:val="20"/>
            <w:szCs w:val="20"/>
            <w:lang w:val="fr-FR"/>
          </w:rPr>
          <w:t>https://www.eureporter.co/world/2015/07/16/ttip-and-un-treaty-eu-must-stand-up-for-human-rights/</w:t>
        </w:r>
      </w:hyperlink>
      <w:r w:rsidRPr="009A0C7F">
        <w:rPr>
          <w:rStyle w:val="Lienhypertexte"/>
          <w:rFonts w:ascii="Verdana" w:hAnsi="Verdana" w:cs="Arial"/>
          <w:color w:val="000000" w:themeColor="text1"/>
          <w:sz w:val="20"/>
          <w:szCs w:val="20"/>
          <w:lang w:val="fr-FR"/>
        </w:rPr>
        <w:t xml:space="preserve"> </w:t>
      </w:r>
    </w:p>
  </w:footnote>
  <w:footnote w:id="59">
    <w:p w14:paraId="4D9F5DB3" w14:textId="7D0BBD97" w:rsidR="002834DD" w:rsidRPr="009A0C7F" w:rsidRDefault="002834DD" w:rsidP="006B0297">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fr-FR"/>
        </w:rPr>
        <w:t xml:space="preserve">Analysis of the draft EU-Colombia FTA, TUC, 2010 </w:t>
      </w:r>
      <w:hyperlink r:id="rId58" w:history="1">
        <w:r w:rsidRPr="009A0C7F">
          <w:rPr>
            <w:rStyle w:val="Lienhypertexte"/>
            <w:rFonts w:ascii="Verdana" w:hAnsi="Verdana"/>
            <w:sz w:val="20"/>
            <w:szCs w:val="20"/>
            <w:lang w:val="fr-FR"/>
          </w:rPr>
          <w:t>http://www.tuc.org.uk/international/tuc-17899-f0.cfm</w:t>
        </w:r>
      </w:hyperlink>
      <w:r w:rsidRPr="009A0C7F">
        <w:rPr>
          <w:rFonts w:ascii="Verdana" w:hAnsi="Verdana"/>
          <w:sz w:val="20"/>
          <w:szCs w:val="20"/>
          <w:lang w:val="fr-FR"/>
        </w:rPr>
        <w:t xml:space="preserve"> </w:t>
      </w:r>
    </w:p>
  </w:footnote>
  <w:footnote w:id="60">
    <w:p w14:paraId="7EA63933" w14:textId="786867D4" w:rsidR="002834DD" w:rsidRPr="009A0C7F" w:rsidRDefault="002834DD" w:rsidP="006B0297">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fr-FR"/>
        </w:rPr>
        <w:t>Social Standards in Sustainability chapters of bilateral free trade agreements, Ludwig Boltzmann Institute, 2010</w:t>
      </w:r>
    </w:p>
  </w:footnote>
  <w:footnote w:id="61">
    <w:p w14:paraId="6B87E1C4" w14:textId="77777777" w:rsidR="002834DD" w:rsidRPr="009A0C7F" w:rsidRDefault="002834DD" w:rsidP="00421E0A">
      <w:pPr>
        <w:pStyle w:val="Notedebasdepage"/>
        <w:rPr>
          <w:rFonts w:ascii="Verdana" w:hAnsi="Verdana"/>
          <w:sz w:val="20"/>
          <w:szCs w:val="20"/>
        </w:rPr>
      </w:pPr>
      <w:r w:rsidRPr="009A0C7F">
        <w:rPr>
          <w:rStyle w:val="Appelnotedebasdep"/>
          <w:rFonts w:ascii="Verdana" w:hAnsi="Verdana"/>
          <w:sz w:val="20"/>
          <w:szCs w:val="20"/>
        </w:rPr>
        <w:footnoteRef/>
      </w:r>
      <w:r w:rsidRPr="009A0C7F">
        <w:rPr>
          <w:rFonts w:ascii="Verdana" w:hAnsi="Verdana"/>
          <w:sz w:val="20"/>
          <w:szCs w:val="20"/>
        </w:rPr>
        <w:t xml:space="preserve"> Voir la proposition canadienne à partir de la p. 349 ici </w:t>
      </w:r>
      <w:hyperlink r:id="rId59" w:history="1">
        <w:r w:rsidRPr="009A0C7F">
          <w:rPr>
            <w:rStyle w:val="Lienhypertexte"/>
            <w:rFonts w:ascii="Verdana" w:hAnsi="Verdana"/>
            <w:sz w:val="20"/>
            <w:szCs w:val="20"/>
          </w:rPr>
          <w:t>http://eu-secret-deals.info/upload/2014/02/CETA-Sustainable-Development-Labour-Enviro-Jan14.pdf</w:t>
        </w:r>
      </w:hyperlink>
      <w:r w:rsidRPr="009A0C7F">
        <w:rPr>
          <w:rFonts w:ascii="Verdana" w:hAnsi="Verdana"/>
          <w:sz w:val="20"/>
          <w:szCs w:val="20"/>
        </w:rPr>
        <w:t xml:space="preserve">  </w:t>
      </w:r>
    </w:p>
    <w:p w14:paraId="56ED0E18" w14:textId="77777777" w:rsidR="002834DD" w:rsidRPr="009A0C7F" w:rsidRDefault="002834DD">
      <w:pPr>
        <w:pStyle w:val="Notedebasdepage"/>
        <w:rPr>
          <w:rFonts w:ascii="Verdana" w:hAnsi="Verdana"/>
          <w:sz w:val="20"/>
          <w:szCs w:val="20"/>
          <w:lang w:val="nl-NL"/>
        </w:rPr>
      </w:pPr>
    </w:p>
  </w:footnote>
  <w:footnote w:id="62">
    <w:p w14:paraId="098B988A" w14:textId="77777777" w:rsidR="002834DD" w:rsidRPr="009A0C7F" w:rsidRDefault="002834DD" w:rsidP="005D59AC">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nl-NL"/>
        </w:rPr>
        <w:t xml:space="preserve">Voir notre note approfondie sur le sujet </w:t>
      </w:r>
      <w:hyperlink r:id="rId60" w:history="1">
        <w:r w:rsidRPr="009A0C7F">
          <w:rPr>
            <w:rStyle w:val="Lienhypertexte"/>
            <w:rFonts w:ascii="Verdana" w:hAnsi="Verdana"/>
            <w:sz w:val="20"/>
            <w:szCs w:val="20"/>
            <w:lang w:val="nl-NL"/>
          </w:rPr>
          <w:t>https://drive.google.com/file/d/0B-9LKmU8kn8qdWJUNW45TDBtSmc/view?usp=sharing</w:t>
        </w:r>
      </w:hyperlink>
      <w:r w:rsidRPr="009A0C7F">
        <w:rPr>
          <w:rFonts w:ascii="Verdana" w:hAnsi="Verdana"/>
          <w:sz w:val="20"/>
          <w:szCs w:val="20"/>
          <w:lang w:val="nl-NL"/>
        </w:rPr>
        <w:t xml:space="preserve"> </w:t>
      </w:r>
    </w:p>
  </w:footnote>
  <w:footnote w:id="63">
    <w:p w14:paraId="4B679CAE" w14:textId="77777777" w:rsidR="002834DD" w:rsidRPr="009A0C7F" w:rsidRDefault="002834DD" w:rsidP="005D59AC">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61" w:history="1">
        <w:r w:rsidRPr="009A0C7F">
          <w:rPr>
            <w:rStyle w:val="Lienhypertexte"/>
            <w:rFonts w:ascii="Verdana" w:hAnsi="Verdana"/>
            <w:sz w:val="20"/>
            <w:szCs w:val="20"/>
          </w:rPr>
          <w:t>http://corporateeurope.org/sites/default/files/attachments/grande-offensive-services-publics.pdf</w:t>
        </w:r>
      </w:hyperlink>
      <w:r w:rsidRPr="009A0C7F">
        <w:rPr>
          <w:rFonts w:ascii="Verdana" w:hAnsi="Verdana"/>
          <w:sz w:val="20"/>
          <w:szCs w:val="20"/>
        </w:rPr>
        <w:t xml:space="preserve"> </w:t>
      </w:r>
    </w:p>
  </w:footnote>
  <w:footnote w:id="64">
    <w:p w14:paraId="60F2A20A" w14:textId="77777777" w:rsidR="002834DD" w:rsidRPr="009A0C7F" w:rsidRDefault="002834DD" w:rsidP="005D59AC">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hyperlink r:id="rId62" w:history="1">
        <w:r w:rsidRPr="009A0C7F">
          <w:rPr>
            <w:rStyle w:val="Lienhypertexte"/>
            <w:rFonts w:ascii="Verdana" w:hAnsi="Verdana"/>
            <w:sz w:val="20"/>
            <w:szCs w:val="20"/>
          </w:rPr>
          <w:t>http://www.akeuropa.eu/_includes/mods/akeu/docs/main_report_en_415.pdf</w:t>
        </w:r>
      </w:hyperlink>
      <w:r w:rsidRPr="009A0C7F">
        <w:rPr>
          <w:rFonts w:ascii="Verdana" w:hAnsi="Verdana"/>
          <w:sz w:val="20"/>
          <w:szCs w:val="20"/>
        </w:rPr>
        <w:t xml:space="preserve"> </w:t>
      </w:r>
    </w:p>
  </w:footnote>
  <w:footnote w:id="65">
    <w:p w14:paraId="0E2D9759" w14:textId="77777777" w:rsidR="002834DD" w:rsidRPr="009A0C7F" w:rsidRDefault="002834DD" w:rsidP="006B0297">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nl-NL"/>
        </w:rPr>
        <w:t xml:space="preserve">Article 19.4, p. 131 </w:t>
      </w:r>
      <w:hyperlink r:id="rId63" w:history="1">
        <w:r w:rsidRPr="009A0C7F">
          <w:rPr>
            <w:rStyle w:val="Lienhypertexte"/>
            <w:rFonts w:ascii="Verdana" w:hAnsi="Verdana"/>
            <w:sz w:val="20"/>
            <w:szCs w:val="20"/>
            <w:lang w:val="nl-NL"/>
          </w:rPr>
          <w:t>http://trade.ec.europa.eu/doclib/docs/2014/september/tradoc_152806.pdf</w:t>
        </w:r>
      </w:hyperlink>
      <w:r w:rsidRPr="009A0C7F">
        <w:rPr>
          <w:rFonts w:ascii="Verdana" w:hAnsi="Verdana"/>
          <w:color w:val="000000" w:themeColor="text1"/>
          <w:sz w:val="20"/>
          <w:szCs w:val="20"/>
          <w:lang w:val="nl-NL"/>
        </w:rPr>
        <w:t xml:space="preserve"> </w:t>
      </w:r>
    </w:p>
  </w:footnote>
  <w:footnote w:id="66">
    <w:p w14:paraId="0613F299" w14:textId="77777777" w:rsidR="002834DD" w:rsidRPr="009A0C7F" w:rsidRDefault="002834DD" w:rsidP="006B0297">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nl-NL"/>
        </w:rPr>
        <w:t>Voir annexe 19 p. 429 pour l’UE</w:t>
      </w:r>
    </w:p>
  </w:footnote>
  <w:footnote w:id="67">
    <w:p w14:paraId="464E9313" w14:textId="77777777" w:rsidR="002834DD" w:rsidRPr="009A0C7F" w:rsidRDefault="002834DD" w:rsidP="006B0297">
      <w:pPr>
        <w:pStyle w:val="Notedebasdepage"/>
        <w:rPr>
          <w:rFonts w:ascii="Verdana" w:hAnsi="Verdana"/>
          <w:sz w:val="20"/>
          <w:szCs w:val="20"/>
          <w:lang w:val="nl-NL"/>
        </w:rPr>
      </w:pPr>
      <w:r w:rsidRPr="009A0C7F">
        <w:rPr>
          <w:rStyle w:val="Appelnotedebasdep"/>
          <w:rFonts w:ascii="Verdana" w:hAnsi="Verdana"/>
          <w:sz w:val="20"/>
          <w:szCs w:val="20"/>
        </w:rPr>
        <w:footnoteRef/>
      </w:r>
      <w:r w:rsidRPr="009A0C7F">
        <w:rPr>
          <w:rFonts w:ascii="Verdana" w:hAnsi="Verdana"/>
          <w:sz w:val="20"/>
          <w:szCs w:val="20"/>
        </w:rPr>
        <w:t xml:space="preserve"> </w:t>
      </w:r>
      <w:r w:rsidRPr="009A0C7F">
        <w:rPr>
          <w:rFonts w:ascii="Verdana" w:hAnsi="Verdana"/>
          <w:sz w:val="20"/>
          <w:szCs w:val="20"/>
          <w:lang w:val="nl-NL"/>
        </w:rPr>
        <w:t>Liste reprise à l’annexe 19-5, p. 505</w:t>
      </w:r>
    </w:p>
  </w:footnote>
  <w:footnote w:id="68">
    <w:p w14:paraId="361ECA56" w14:textId="1CCE9E7B" w:rsidR="000C5F04" w:rsidRPr="000C5F04" w:rsidRDefault="000C5F04">
      <w:pPr>
        <w:pStyle w:val="Notedebasdepage"/>
        <w:rPr>
          <w:lang w:val="nl-NL"/>
        </w:rPr>
      </w:pPr>
      <w:r>
        <w:rPr>
          <w:rStyle w:val="Appelnotedebasdep"/>
        </w:rPr>
        <w:footnoteRef/>
      </w:r>
      <w:r>
        <w:t xml:space="preserve"> </w:t>
      </w:r>
      <w:hyperlink r:id="rId64" w:history="1">
        <w:r w:rsidRPr="007D117F">
          <w:rPr>
            <w:rStyle w:val="Lienhypertexte"/>
          </w:rPr>
          <w:t>http://participer.stop-ttip.be/groups/2/files/32</w:t>
        </w:r>
      </w:hyperlink>
      <w:r>
        <w:t xml:space="preserve"> </w:t>
      </w:r>
    </w:p>
  </w:footnote>
  <w:footnote w:id="69">
    <w:p w14:paraId="36255AFE" w14:textId="61B586D6" w:rsidR="000C5F04" w:rsidRPr="000C5F04" w:rsidRDefault="000C5F04">
      <w:pPr>
        <w:pStyle w:val="Notedebasdepage"/>
        <w:rPr>
          <w:lang w:val="nl-NL"/>
        </w:rPr>
      </w:pPr>
      <w:r>
        <w:rPr>
          <w:rStyle w:val="Appelnotedebasdep"/>
        </w:rPr>
        <w:footnoteRef/>
      </w:r>
      <w:r>
        <w:t xml:space="preserve"> </w:t>
      </w:r>
      <w:hyperlink r:id="rId65" w:history="1">
        <w:r w:rsidRPr="007D117F">
          <w:rPr>
            <w:rStyle w:val="Lienhypertexte"/>
          </w:rPr>
          <w:t>http://participer.stop-ttip.be/groups/14/discussions/32</w:t>
        </w:r>
      </w:hyperlink>
      <w:r>
        <w:t xml:space="preserve"> </w:t>
      </w:r>
    </w:p>
  </w:footnote>
  <w:footnote w:id="70">
    <w:p w14:paraId="5640F743" w14:textId="5CF9155B" w:rsidR="000C5F04" w:rsidRPr="000C5F04" w:rsidRDefault="000C5F04">
      <w:pPr>
        <w:pStyle w:val="Notedebasdepage"/>
        <w:rPr>
          <w:lang w:val="nl-NL"/>
        </w:rPr>
      </w:pPr>
      <w:r>
        <w:rPr>
          <w:rStyle w:val="Appelnotedebasdep"/>
        </w:rPr>
        <w:footnoteRef/>
      </w:r>
      <w:r>
        <w:t xml:space="preserve"> </w:t>
      </w:r>
      <w:hyperlink r:id="rId66" w:history="1">
        <w:r w:rsidRPr="007D117F">
          <w:rPr>
            <w:rStyle w:val="Lienhypertexte"/>
          </w:rPr>
          <w:t>https://www.policyalternatives.ca/publications/reports/making-sense-ceta-2016</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F09D5"/>
    <w:multiLevelType w:val="hybridMultilevel"/>
    <w:tmpl w:val="F8F68446"/>
    <w:lvl w:ilvl="0" w:tplc="BD5E3F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7682F74"/>
    <w:multiLevelType w:val="hybridMultilevel"/>
    <w:tmpl w:val="EDFEF2E4"/>
    <w:lvl w:ilvl="0" w:tplc="9D183594">
      <w:start w:val="1"/>
      <w:numFmt w:val="decimal"/>
      <w:lvlText w:val="%1-"/>
      <w:lvlJc w:val="left"/>
      <w:pPr>
        <w:ind w:left="720" w:hanging="360"/>
      </w:pPr>
      <w:rPr>
        <w:rFonts w:ascii="Arial" w:hAnsi="Arial" w:cs="Arial" w:hint="default"/>
        <w:color w:val="363840"/>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6B86791"/>
    <w:multiLevelType w:val="hybridMultilevel"/>
    <w:tmpl w:val="7CC629A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0A"/>
    <w:rsid w:val="000857CD"/>
    <w:rsid w:val="00094C95"/>
    <w:rsid w:val="000C5F04"/>
    <w:rsid w:val="000F3F8E"/>
    <w:rsid w:val="0012402F"/>
    <w:rsid w:val="00192298"/>
    <w:rsid w:val="00194533"/>
    <w:rsid w:val="001A04C5"/>
    <w:rsid w:val="0024098C"/>
    <w:rsid w:val="00246E30"/>
    <w:rsid w:val="00260804"/>
    <w:rsid w:val="002834DD"/>
    <w:rsid w:val="002B30F9"/>
    <w:rsid w:val="002F4807"/>
    <w:rsid w:val="00340B4A"/>
    <w:rsid w:val="0036518A"/>
    <w:rsid w:val="003B19B7"/>
    <w:rsid w:val="003C25F6"/>
    <w:rsid w:val="004071A1"/>
    <w:rsid w:val="00412097"/>
    <w:rsid w:val="00421E0A"/>
    <w:rsid w:val="0045660A"/>
    <w:rsid w:val="00484705"/>
    <w:rsid w:val="00575A04"/>
    <w:rsid w:val="005902B1"/>
    <w:rsid w:val="005D59AC"/>
    <w:rsid w:val="006B0297"/>
    <w:rsid w:val="006C21D0"/>
    <w:rsid w:val="006E1151"/>
    <w:rsid w:val="0077554B"/>
    <w:rsid w:val="00840307"/>
    <w:rsid w:val="00851F90"/>
    <w:rsid w:val="008817C1"/>
    <w:rsid w:val="008A5A08"/>
    <w:rsid w:val="008B3AD8"/>
    <w:rsid w:val="00905ECB"/>
    <w:rsid w:val="009229FA"/>
    <w:rsid w:val="00974E97"/>
    <w:rsid w:val="009953BB"/>
    <w:rsid w:val="009A0C7F"/>
    <w:rsid w:val="00A37ED1"/>
    <w:rsid w:val="00A67A1C"/>
    <w:rsid w:val="00AC6602"/>
    <w:rsid w:val="00AD3E95"/>
    <w:rsid w:val="00AD552B"/>
    <w:rsid w:val="00B37837"/>
    <w:rsid w:val="00B66F88"/>
    <w:rsid w:val="00BC6E89"/>
    <w:rsid w:val="00C50343"/>
    <w:rsid w:val="00C60DA7"/>
    <w:rsid w:val="00C80C88"/>
    <w:rsid w:val="00C80FF2"/>
    <w:rsid w:val="00C84E84"/>
    <w:rsid w:val="00C979AE"/>
    <w:rsid w:val="00CA396B"/>
    <w:rsid w:val="00D03113"/>
    <w:rsid w:val="00D53B37"/>
    <w:rsid w:val="00E73867"/>
    <w:rsid w:val="00F8406F"/>
    <w:rsid w:val="00FA6FB1"/>
    <w:rsid w:val="00FC65E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D216E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902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120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1A04C5"/>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rsid w:val="001A04C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421E0A"/>
    <w:pPr>
      <w:ind w:left="720"/>
      <w:contextualSpacing/>
    </w:pPr>
  </w:style>
  <w:style w:type="character" w:styleId="Lienhypertexte">
    <w:name w:val="Hyperlink"/>
    <w:basedOn w:val="Policepardfaut"/>
    <w:uiPriority w:val="99"/>
    <w:unhideWhenUsed/>
    <w:rsid w:val="00421E0A"/>
    <w:rPr>
      <w:color w:val="0563C1" w:themeColor="hyperlink"/>
      <w:u w:val="single"/>
    </w:rPr>
  </w:style>
  <w:style w:type="paragraph" w:styleId="Notedebasdepage">
    <w:name w:val="footnote text"/>
    <w:basedOn w:val="Normal"/>
    <w:link w:val="NotedebasdepageCar"/>
    <w:uiPriority w:val="99"/>
    <w:unhideWhenUsed/>
    <w:rsid w:val="00421E0A"/>
  </w:style>
  <w:style w:type="character" w:customStyle="1" w:styleId="NotedebasdepageCar">
    <w:name w:val="Note de bas de page Car"/>
    <w:basedOn w:val="Policepardfaut"/>
    <w:link w:val="Notedebasdepage"/>
    <w:uiPriority w:val="99"/>
    <w:rsid w:val="00421E0A"/>
  </w:style>
  <w:style w:type="character" w:styleId="Appelnotedebasdep">
    <w:name w:val="footnote reference"/>
    <w:basedOn w:val="Policepardfaut"/>
    <w:uiPriority w:val="99"/>
    <w:unhideWhenUsed/>
    <w:rsid w:val="00421E0A"/>
    <w:rPr>
      <w:vertAlign w:val="superscript"/>
    </w:rPr>
  </w:style>
  <w:style w:type="paragraph" w:styleId="Normalweb">
    <w:name w:val="Normal (Web)"/>
    <w:basedOn w:val="Normal"/>
    <w:uiPriority w:val="99"/>
    <w:semiHidden/>
    <w:unhideWhenUsed/>
    <w:rsid w:val="002F4807"/>
    <w:rPr>
      <w:rFonts w:ascii="Times New Roman" w:hAnsi="Times New Roman" w:cs="Times New Roman"/>
    </w:rPr>
  </w:style>
  <w:style w:type="paragraph" w:customStyle="1" w:styleId="Default">
    <w:name w:val="Default"/>
    <w:rsid w:val="00CA396B"/>
    <w:pPr>
      <w:widowControl w:val="0"/>
      <w:autoSpaceDE w:val="0"/>
      <w:autoSpaceDN w:val="0"/>
      <w:adjustRightInd w:val="0"/>
    </w:pPr>
    <w:rPr>
      <w:rFonts w:ascii="Calibri" w:hAnsi="Calibri" w:cs="Calibri"/>
      <w:color w:val="000000"/>
      <w:lang w:val="fr-FR"/>
    </w:rPr>
  </w:style>
  <w:style w:type="paragraph" w:customStyle="1" w:styleId="CorpsdetexteNoteSEF">
    <w:name w:val="Corps de texte Note SEF"/>
    <w:basedOn w:val="Normal"/>
    <w:qFormat/>
    <w:rsid w:val="002834DD"/>
    <w:pPr>
      <w:spacing w:after="200"/>
      <w:jc w:val="both"/>
    </w:pPr>
    <w:rPr>
      <w:rFonts w:ascii="Cambria" w:eastAsia="Times New Roman" w:hAnsi="Cambria" w:cs="Times New Roman"/>
      <w:w w:val="85"/>
      <w:sz w:val="22"/>
      <w:lang w:eastAsia="en-US"/>
    </w:rPr>
  </w:style>
  <w:style w:type="character" w:customStyle="1" w:styleId="Titre1Car">
    <w:name w:val="Titre 1 Car"/>
    <w:basedOn w:val="Policepardfaut"/>
    <w:link w:val="Titre1"/>
    <w:uiPriority w:val="9"/>
    <w:rsid w:val="005902B1"/>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412097"/>
    <w:pPr>
      <w:contextualSpacing/>
    </w:pPr>
    <w:rPr>
      <w:rFonts w:ascii="Verdana" w:eastAsiaTheme="majorEastAsia" w:hAnsi="Verdana" w:cstheme="majorBidi"/>
      <w:spacing w:val="-10"/>
      <w:kern w:val="28"/>
      <w:sz w:val="48"/>
      <w:szCs w:val="56"/>
      <w:lang w:val="fr-FR"/>
    </w:rPr>
  </w:style>
  <w:style w:type="character" w:customStyle="1" w:styleId="TitreCar">
    <w:name w:val="Titre Car"/>
    <w:basedOn w:val="Policepardfaut"/>
    <w:link w:val="Titre"/>
    <w:uiPriority w:val="10"/>
    <w:rsid w:val="00412097"/>
    <w:rPr>
      <w:rFonts w:ascii="Verdana" w:eastAsiaTheme="majorEastAsia" w:hAnsi="Verdana" w:cstheme="majorBidi"/>
      <w:spacing w:val="-10"/>
      <w:kern w:val="28"/>
      <w:sz w:val="48"/>
      <w:szCs w:val="56"/>
      <w:lang w:val="fr-FR"/>
    </w:rPr>
  </w:style>
  <w:style w:type="paragraph" w:styleId="En-ttedetabledesmatires">
    <w:name w:val="TOC Heading"/>
    <w:basedOn w:val="Titre1"/>
    <w:next w:val="Normal"/>
    <w:uiPriority w:val="39"/>
    <w:unhideWhenUsed/>
    <w:qFormat/>
    <w:rsid w:val="000857CD"/>
    <w:pPr>
      <w:spacing w:before="480" w:line="276" w:lineRule="auto"/>
      <w:outlineLvl w:val="9"/>
    </w:pPr>
    <w:rPr>
      <w:b/>
      <w:bCs/>
      <w:sz w:val="28"/>
      <w:szCs w:val="28"/>
    </w:rPr>
  </w:style>
  <w:style w:type="paragraph" w:styleId="TM1">
    <w:name w:val="toc 1"/>
    <w:basedOn w:val="Normal"/>
    <w:next w:val="Normal"/>
    <w:autoRedefine/>
    <w:uiPriority w:val="39"/>
    <w:unhideWhenUsed/>
    <w:rsid w:val="000857CD"/>
    <w:pPr>
      <w:spacing w:before="120"/>
    </w:pPr>
    <w:rPr>
      <w:rFonts w:asciiTheme="majorHAnsi" w:hAnsiTheme="majorHAnsi"/>
      <w:b/>
      <w:color w:val="548DD4"/>
    </w:rPr>
  </w:style>
  <w:style w:type="paragraph" w:styleId="TM2">
    <w:name w:val="toc 2"/>
    <w:basedOn w:val="Normal"/>
    <w:next w:val="Normal"/>
    <w:autoRedefine/>
    <w:uiPriority w:val="39"/>
    <w:unhideWhenUsed/>
    <w:rsid w:val="000857CD"/>
    <w:rPr>
      <w:sz w:val="22"/>
      <w:szCs w:val="22"/>
    </w:rPr>
  </w:style>
  <w:style w:type="paragraph" w:styleId="TM3">
    <w:name w:val="toc 3"/>
    <w:basedOn w:val="Normal"/>
    <w:next w:val="Normal"/>
    <w:autoRedefine/>
    <w:uiPriority w:val="39"/>
    <w:unhideWhenUsed/>
    <w:rsid w:val="000857CD"/>
    <w:pPr>
      <w:ind w:left="240"/>
    </w:pPr>
    <w:rPr>
      <w:i/>
      <w:sz w:val="22"/>
      <w:szCs w:val="22"/>
    </w:rPr>
  </w:style>
  <w:style w:type="paragraph" w:styleId="TM4">
    <w:name w:val="toc 4"/>
    <w:basedOn w:val="Normal"/>
    <w:next w:val="Normal"/>
    <w:autoRedefine/>
    <w:uiPriority w:val="39"/>
    <w:unhideWhenUsed/>
    <w:rsid w:val="000857CD"/>
    <w:pPr>
      <w:pBdr>
        <w:between w:val="double" w:sz="6" w:space="0" w:color="auto"/>
      </w:pBdr>
      <w:ind w:left="480"/>
    </w:pPr>
    <w:rPr>
      <w:sz w:val="20"/>
      <w:szCs w:val="20"/>
    </w:rPr>
  </w:style>
  <w:style w:type="paragraph" w:styleId="TM5">
    <w:name w:val="toc 5"/>
    <w:basedOn w:val="Normal"/>
    <w:next w:val="Normal"/>
    <w:autoRedefine/>
    <w:uiPriority w:val="39"/>
    <w:unhideWhenUsed/>
    <w:rsid w:val="000857CD"/>
    <w:pPr>
      <w:pBdr>
        <w:between w:val="double" w:sz="6" w:space="0" w:color="auto"/>
      </w:pBdr>
      <w:ind w:left="720"/>
    </w:pPr>
    <w:rPr>
      <w:sz w:val="20"/>
      <w:szCs w:val="20"/>
    </w:rPr>
  </w:style>
  <w:style w:type="paragraph" w:styleId="TM6">
    <w:name w:val="toc 6"/>
    <w:basedOn w:val="Normal"/>
    <w:next w:val="Normal"/>
    <w:autoRedefine/>
    <w:uiPriority w:val="39"/>
    <w:unhideWhenUsed/>
    <w:rsid w:val="000857CD"/>
    <w:pPr>
      <w:pBdr>
        <w:between w:val="double" w:sz="6" w:space="0" w:color="auto"/>
      </w:pBdr>
      <w:ind w:left="960"/>
    </w:pPr>
    <w:rPr>
      <w:sz w:val="20"/>
      <w:szCs w:val="20"/>
    </w:rPr>
  </w:style>
  <w:style w:type="paragraph" w:styleId="TM7">
    <w:name w:val="toc 7"/>
    <w:basedOn w:val="Normal"/>
    <w:next w:val="Normal"/>
    <w:autoRedefine/>
    <w:uiPriority w:val="39"/>
    <w:unhideWhenUsed/>
    <w:rsid w:val="000857CD"/>
    <w:pPr>
      <w:pBdr>
        <w:between w:val="double" w:sz="6" w:space="0" w:color="auto"/>
      </w:pBdr>
      <w:ind w:left="1200"/>
    </w:pPr>
    <w:rPr>
      <w:sz w:val="20"/>
      <w:szCs w:val="20"/>
    </w:rPr>
  </w:style>
  <w:style w:type="paragraph" w:styleId="TM8">
    <w:name w:val="toc 8"/>
    <w:basedOn w:val="Normal"/>
    <w:next w:val="Normal"/>
    <w:autoRedefine/>
    <w:uiPriority w:val="39"/>
    <w:unhideWhenUsed/>
    <w:rsid w:val="000857CD"/>
    <w:pPr>
      <w:pBdr>
        <w:between w:val="double" w:sz="6" w:space="0" w:color="auto"/>
      </w:pBdr>
      <w:ind w:left="1440"/>
    </w:pPr>
    <w:rPr>
      <w:sz w:val="20"/>
      <w:szCs w:val="20"/>
    </w:rPr>
  </w:style>
  <w:style w:type="paragraph" w:styleId="TM9">
    <w:name w:val="toc 9"/>
    <w:basedOn w:val="Normal"/>
    <w:next w:val="Normal"/>
    <w:autoRedefine/>
    <w:uiPriority w:val="39"/>
    <w:unhideWhenUsed/>
    <w:rsid w:val="000857CD"/>
    <w:pPr>
      <w:pBdr>
        <w:between w:val="double" w:sz="6" w:space="0" w:color="auto"/>
      </w:pBdr>
      <w:ind w:left="1680"/>
    </w:pPr>
    <w:rPr>
      <w:sz w:val="20"/>
      <w:szCs w:val="20"/>
    </w:rPr>
  </w:style>
  <w:style w:type="character" w:customStyle="1" w:styleId="Titre2Car">
    <w:name w:val="Titre 2 Car"/>
    <w:basedOn w:val="Policepardfaut"/>
    <w:link w:val="Titre2"/>
    <w:uiPriority w:val="9"/>
    <w:rsid w:val="00412097"/>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1A04C5"/>
    <w:rPr>
      <w:rFonts w:asciiTheme="majorHAnsi" w:eastAsiaTheme="majorEastAsia" w:hAnsiTheme="majorHAnsi" w:cstheme="majorBidi"/>
      <w:color w:val="1F4D78" w:themeColor="accent1" w:themeShade="7F"/>
    </w:rPr>
  </w:style>
  <w:style w:type="character" w:customStyle="1" w:styleId="Titre4Car">
    <w:name w:val="Titre 4 Car"/>
    <w:basedOn w:val="Policepardfaut"/>
    <w:link w:val="Titre4"/>
    <w:uiPriority w:val="9"/>
    <w:rsid w:val="001A04C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98950">
      <w:bodyDiv w:val="1"/>
      <w:marLeft w:val="0"/>
      <w:marRight w:val="0"/>
      <w:marTop w:val="0"/>
      <w:marBottom w:val="0"/>
      <w:divBdr>
        <w:top w:val="none" w:sz="0" w:space="0" w:color="auto"/>
        <w:left w:val="none" w:sz="0" w:space="0" w:color="auto"/>
        <w:bottom w:val="none" w:sz="0" w:space="0" w:color="auto"/>
        <w:right w:val="none" w:sz="0" w:space="0" w:color="auto"/>
      </w:divBdr>
    </w:div>
    <w:div w:id="429544561">
      <w:bodyDiv w:val="1"/>
      <w:marLeft w:val="0"/>
      <w:marRight w:val="0"/>
      <w:marTop w:val="0"/>
      <w:marBottom w:val="0"/>
      <w:divBdr>
        <w:top w:val="none" w:sz="0" w:space="0" w:color="auto"/>
        <w:left w:val="none" w:sz="0" w:space="0" w:color="auto"/>
        <w:bottom w:val="none" w:sz="0" w:space="0" w:color="auto"/>
        <w:right w:val="none" w:sz="0" w:space="0" w:color="auto"/>
      </w:divBdr>
      <w:divsChild>
        <w:div w:id="255866214">
          <w:marLeft w:val="0"/>
          <w:marRight w:val="0"/>
          <w:marTop w:val="0"/>
          <w:marBottom w:val="0"/>
          <w:divBdr>
            <w:top w:val="none" w:sz="0" w:space="0" w:color="auto"/>
            <w:left w:val="none" w:sz="0" w:space="0" w:color="auto"/>
            <w:bottom w:val="none" w:sz="0" w:space="0" w:color="auto"/>
            <w:right w:val="none" w:sz="0" w:space="0" w:color="auto"/>
          </w:divBdr>
          <w:divsChild>
            <w:div w:id="2052071256">
              <w:marLeft w:val="0"/>
              <w:marRight w:val="0"/>
              <w:marTop w:val="0"/>
              <w:marBottom w:val="0"/>
              <w:divBdr>
                <w:top w:val="none" w:sz="0" w:space="0" w:color="auto"/>
                <w:left w:val="none" w:sz="0" w:space="0" w:color="auto"/>
                <w:bottom w:val="none" w:sz="0" w:space="0" w:color="auto"/>
                <w:right w:val="none" w:sz="0" w:space="0" w:color="auto"/>
              </w:divBdr>
              <w:divsChild>
                <w:div w:id="6877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9075">
      <w:bodyDiv w:val="1"/>
      <w:marLeft w:val="0"/>
      <w:marRight w:val="0"/>
      <w:marTop w:val="0"/>
      <w:marBottom w:val="0"/>
      <w:divBdr>
        <w:top w:val="none" w:sz="0" w:space="0" w:color="auto"/>
        <w:left w:val="none" w:sz="0" w:space="0" w:color="auto"/>
        <w:bottom w:val="none" w:sz="0" w:space="0" w:color="auto"/>
        <w:right w:val="none" w:sz="0" w:space="0" w:color="auto"/>
      </w:divBdr>
    </w:div>
    <w:div w:id="815603942">
      <w:bodyDiv w:val="1"/>
      <w:marLeft w:val="0"/>
      <w:marRight w:val="0"/>
      <w:marTop w:val="0"/>
      <w:marBottom w:val="0"/>
      <w:divBdr>
        <w:top w:val="none" w:sz="0" w:space="0" w:color="auto"/>
        <w:left w:val="none" w:sz="0" w:space="0" w:color="auto"/>
        <w:bottom w:val="none" w:sz="0" w:space="0" w:color="auto"/>
        <w:right w:val="none" w:sz="0" w:space="0" w:color="auto"/>
      </w:divBdr>
    </w:div>
    <w:div w:id="833959917">
      <w:bodyDiv w:val="1"/>
      <w:marLeft w:val="0"/>
      <w:marRight w:val="0"/>
      <w:marTop w:val="0"/>
      <w:marBottom w:val="0"/>
      <w:divBdr>
        <w:top w:val="none" w:sz="0" w:space="0" w:color="auto"/>
        <w:left w:val="none" w:sz="0" w:space="0" w:color="auto"/>
        <w:bottom w:val="none" w:sz="0" w:space="0" w:color="auto"/>
        <w:right w:val="none" w:sz="0" w:space="0" w:color="auto"/>
      </w:divBdr>
    </w:div>
    <w:div w:id="1142624705">
      <w:bodyDiv w:val="1"/>
      <w:marLeft w:val="0"/>
      <w:marRight w:val="0"/>
      <w:marTop w:val="0"/>
      <w:marBottom w:val="0"/>
      <w:divBdr>
        <w:top w:val="none" w:sz="0" w:space="0" w:color="auto"/>
        <w:left w:val="none" w:sz="0" w:space="0" w:color="auto"/>
        <w:bottom w:val="none" w:sz="0" w:space="0" w:color="auto"/>
        <w:right w:val="none" w:sz="0" w:space="0" w:color="auto"/>
      </w:divBdr>
    </w:div>
    <w:div w:id="1221792408">
      <w:bodyDiv w:val="1"/>
      <w:marLeft w:val="0"/>
      <w:marRight w:val="0"/>
      <w:marTop w:val="0"/>
      <w:marBottom w:val="0"/>
      <w:divBdr>
        <w:top w:val="none" w:sz="0" w:space="0" w:color="auto"/>
        <w:left w:val="none" w:sz="0" w:space="0" w:color="auto"/>
        <w:bottom w:val="none" w:sz="0" w:space="0" w:color="auto"/>
        <w:right w:val="none" w:sz="0" w:space="0" w:color="auto"/>
      </w:divBdr>
    </w:div>
    <w:div w:id="1439568799">
      <w:bodyDiv w:val="1"/>
      <w:marLeft w:val="0"/>
      <w:marRight w:val="0"/>
      <w:marTop w:val="0"/>
      <w:marBottom w:val="0"/>
      <w:divBdr>
        <w:top w:val="none" w:sz="0" w:space="0" w:color="auto"/>
        <w:left w:val="none" w:sz="0" w:space="0" w:color="auto"/>
        <w:bottom w:val="none" w:sz="0" w:space="0" w:color="auto"/>
        <w:right w:val="none" w:sz="0" w:space="0" w:color="auto"/>
      </w:divBdr>
    </w:div>
    <w:div w:id="1458329823">
      <w:bodyDiv w:val="1"/>
      <w:marLeft w:val="0"/>
      <w:marRight w:val="0"/>
      <w:marTop w:val="0"/>
      <w:marBottom w:val="0"/>
      <w:divBdr>
        <w:top w:val="none" w:sz="0" w:space="0" w:color="auto"/>
        <w:left w:val="none" w:sz="0" w:space="0" w:color="auto"/>
        <w:bottom w:val="none" w:sz="0" w:space="0" w:color="auto"/>
        <w:right w:val="none" w:sz="0" w:space="0" w:color="auto"/>
      </w:divBdr>
    </w:div>
    <w:div w:id="1833182200">
      <w:bodyDiv w:val="1"/>
      <w:marLeft w:val="0"/>
      <w:marRight w:val="0"/>
      <w:marTop w:val="0"/>
      <w:marBottom w:val="0"/>
      <w:divBdr>
        <w:top w:val="none" w:sz="0" w:space="0" w:color="auto"/>
        <w:left w:val="none" w:sz="0" w:space="0" w:color="auto"/>
        <w:bottom w:val="none" w:sz="0" w:space="0" w:color="auto"/>
        <w:right w:val="none" w:sz="0" w:space="0" w:color="auto"/>
      </w:divBdr>
    </w:div>
    <w:div w:id="18589609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eblex.irisnet.be/data/crb/doc/2015-16/129216/images.pdf" TargetMode="External"/><Relationship Id="rId20" Type="http://schemas.openxmlformats.org/officeDocument/2006/relationships/hyperlink" Target="https://www.policyalternatives.ca/publications/reports/making-sense-ceta-2016"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bmwi.de/BMWi/Redaktion/PDF/G/gemeinsame-erklaerung-fortschrittliche-handelspolitik-ceta-und-darueber-hinaus-englisch,property=pdf,bereich=bmwi2012,sprache=de,rwb=true.pdf" TargetMode="External"/><Relationship Id="rId11" Type="http://schemas.openxmlformats.org/officeDocument/2006/relationships/hyperlink" Target="http://www.dw.com/en/ceta-clarifications-only-says-gabriel/a-19555817" TargetMode="External"/><Relationship Id="rId12" Type="http://schemas.openxmlformats.org/officeDocument/2006/relationships/hyperlink" Target="http://ca.reuters.com/article/domesticNews/idCAKCN11L2S0" TargetMode="External"/><Relationship Id="rId13" Type="http://schemas.openxmlformats.org/officeDocument/2006/relationships/hyperlink" Target="http://www.fwa.be/wordpressfwa/index.php/ttip-une-assemblee-a-ne-pas-manquer/" TargetMode="External"/><Relationship Id="rId14" Type="http://schemas.openxmlformats.org/officeDocument/2006/relationships/hyperlink" Target="http://www.agrisalon.com/actualites/2016/09/01/apres-l-arret-des-negociations-du-tafta-interbev-demande-l-arret-du-ceta" TargetMode="External"/><Relationship Id="rId15" Type="http://schemas.openxmlformats.org/officeDocument/2006/relationships/hyperlink" Target="http://participer.stop-ttip.be/groups/14/files/207" TargetMode="External"/><Relationship Id="rId16" Type="http://schemas.openxmlformats.org/officeDocument/2006/relationships/hyperlink" Target="http://www.no-transat.be/sites/default/files/dossiers-presse/2016-03-17_-_ttip_ceta_la_grande_braderie_sanitaire.pdf" TargetMode="External"/><Relationship Id="rId17" Type="http://schemas.openxmlformats.org/officeDocument/2006/relationships/hyperlink" Target="http://participer.stop-ttip.be/groups/14/files/207" TargetMode="External"/><Relationship Id="rId18" Type="http://schemas.openxmlformats.org/officeDocument/2006/relationships/hyperlink" Target="http://participer.stop-ttip.be/groups/2/files/32" TargetMode="External"/><Relationship Id="rId19" Type="http://schemas.openxmlformats.org/officeDocument/2006/relationships/hyperlink" Target="http://participer.stop-ttip.be/groups/14/discussions/3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articiper.stop-ttip.be/groups/22/files/579"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fwa.be/wordpressfwa/index.php/ttip-une-assemblee-a-ne-pas-manquer/" TargetMode="External"/><Relationship Id="rId14" Type="http://schemas.openxmlformats.org/officeDocument/2006/relationships/hyperlink" Target="http://www.agrisalon.com/actualites/2016/09/01/apres-l-arret-des-negociations-du-tafta-interbev-demande-l-arret-du-ceta" TargetMode="External"/><Relationship Id="rId15" Type="http://schemas.openxmlformats.org/officeDocument/2006/relationships/hyperlink" Target="http://participer.stop-ttip.be/groups/14/files/207" TargetMode="External"/><Relationship Id="rId16" Type="http://schemas.openxmlformats.org/officeDocument/2006/relationships/hyperlink" Target="http://www.no-transat.be/sites/default/files/dossiers-presse/2016-03-17_-_ttip_ceta_la_grande_braderie_sanitaire.pdf" TargetMode="External"/><Relationship Id="rId17" Type="http://schemas.openxmlformats.org/officeDocument/2006/relationships/hyperlink" Target="http://participer.stop-ttip.be/groups/14/files/207" TargetMode="External"/><Relationship Id="rId18" Type="http://schemas.openxmlformats.org/officeDocument/2006/relationships/hyperlink" Target="http://www.nfu.ca/issues/canada-eu-comprehensive-economic-and-trade-agreement" TargetMode="External"/><Relationship Id="rId19" Type="http://schemas.openxmlformats.org/officeDocument/2006/relationships/hyperlink" Target="http://www.nfu.ca/sites/www.nfu.ca/files/2016-07-22%20NFU%20Letter%20to%20EU%20Ag%20Commissioner%20Phil%20Hogan_0.pdf" TargetMode="External"/><Relationship Id="rId63" Type="http://schemas.openxmlformats.org/officeDocument/2006/relationships/hyperlink" Target="http://trade.ec.europa.eu/doclib/docs/2014/september/tradoc_152806.pdf" TargetMode="External"/><Relationship Id="rId64" Type="http://schemas.openxmlformats.org/officeDocument/2006/relationships/hyperlink" Target="http://participer.stop-ttip.be/groups/2/files/32" TargetMode="External"/><Relationship Id="rId65" Type="http://schemas.openxmlformats.org/officeDocument/2006/relationships/hyperlink" Target="http://participer.stop-ttip.be/groups/14/discussions/32" TargetMode="External"/><Relationship Id="rId66" Type="http://schemas.openxmlformats.org/officeDocument/2006/relationships/hyperlink" Target="https://www.policyalternatives.ca/publications/reports/making-sense-ceta-2016" TargetMode="External"/><Relationship Id="rId50" Type="http://schemas.openxmlformats.org/officeDocument/2006/relationships/hyperlink" Target="http://www.iisd.org/itn/wp-content/uploads/2012/10/SADC-Model-BIT-Template-Final.pdf" TargetMode="External"/><Relationship Id="rId51" Type="http://schemas.openxmlformats.org/officeDocument/2006/relationships/hyperlink" Target="http://www.somo.nl/news-en/after-south-africa-indonesia-takes-a-brave-decision-to-terminate-its-bilateral-investment-treaty-with-the-netherlands" TargetMode="External"/><Relationship Id="rId52" Type="http://schemas.openxmlformats.org/officeDocument/2006/relationships/hyperlink" Target="http://kluwerarbitrationblog.com/2015/06/16/brazils-new-investment-treaties-outside-looking-out-2/" TargetMode="External"/><Relationship Id="rId53" Type="http://schemas.openxmlformats.org/officeDocument/2006/relationships/hyperlink" Target="http://investmentpolicyhub.unctad.org/IIA/CountryBits/27" TargetMode="External"/><Relationship Id="rId54" Type="http://schemas.openxmlformats.org/officeDocument/2006/relationships/hyperlink" Target="http://www.liberation.fr/futurs/1998/10/15/jospin-adieu-l-ami-salut-les-copains-en-renoncant-a-faire-participer-la-france-aux-discussions-sur-l_250782" TargetMode="External"/><Relationship Id="rId55" Type="http://schemas.openxmlformats.org/officeDocument/2006/relationships/hyperlink" Target="http://workersvoicesglobalsupplychain.org/" TargetMode="External"/><Relationship Id="rId56" Type="http://schemas.openxmlformats.org/officeDocument/2006/relationships/hyperlink" Target="http://www.cncd.be/Le-dumping-social-n-est-pas-une" TargetMode="External"/><Relationship Id="rId57" Type="http://schemas.openxmlformats.org/officeDocument/2006/relationships/hyperlink" Target="https://www.eureporter.co/world/2015/07/16/ttip-and-un-treaty-eu-must-stand-up-for-human-rights/" TargetMode="External"/><Relationship Id="rId58" Type="http://schemas.openxmlformats.org/officeDocument/2006/relationships/hyperlink" Target="http://www.tuc.org.uk/international/tuc-17899-f0.cfm" TargetMode="External"/><Relationship Id="rId59" Type="http://schemas.openxmlformats.org/officeDocument/2006/relationships/hyperlink" Target="http://eu-secret-deals.info/upload/2014/02/CETA-Sustainable-Development-Labour-Enviro-Jan14.pdf" TargetMode="External"/><Relationship Id="rId40" Type="http://schemas.openxmlformats.org/officeDocument/2006/relationships/hyperlink" Target="http://europa.eu/rapid/press-release_MEMO-16-1383_en.htm?locale=FR" TargetMode="External"/><Relationship Id="rId41" Type="http://schemas.openxmlformats.org/officeDocument/2006/relationships/hyperlink" Target="http://www.europarl.europa.eu/RegData/etudes/IDAN/2016/579088/EPRS_IDA%282016%29579088_EN.pdf" TargetMode="External"/><Relationship Id="rId42" Type="http://schemas.openxmlformats.org/officeDocument/2006/relationships/hyperlink" Target="http://www.iaj-uim.org/iuw/wp-content/uploads/2015/11/EAJ-report-TIPP-Court-october.pdf" TargetMode="External"/><Relationship Id="rId43" Type="http://schemas.openxmlformats.org/officeDocument/2006/relationships/hyperlink" Target="http://www.dw.com/en/german-judges-slap-ttip-down/a-19027665" TargetMode="External"/><Relationship Id="rId44" Type="http://schemas.openxmlformats.org/officeDocument/2006/relationships/hyperlink" Target="http://www.iaj-uim.org/iuw/wp-content/uploads/2015/11/EAJ-report-TIPP-Court-october.pdf" TargetMode="External"/><Relationship Id="rId45" Type="http://schemas.openxmlformats.org/officeDocument/2006/relationships/hyperlink" Target="https://www.tni.org/en/publication/investment-court-system-put-to-the-test" TargetMode="External"/><Relationship Id="rId46" Type="http://schemas.openxmlformats.org/officeDocument/2006/relationships/hyperlink" Target="http://ssrn.com/abstract=2784461" TargetMode="External"/><Relationship Id="rId47" Type="http://schemas.openxmlformats.org/officeDocument/2006/relationships/hyperlink" Target="http://citizen.org/documents/EU-ISDS-liability.pdf" TargetMode="External"/><Relationship Id="rId48" Type="http://schemas.openxmlformats.org/officeDocument/2006/relationships/hyperlink" Target="https://www.mygov.in/sites/default/files/master_image/Model%20Text%20for%20the%20Indian%20Bilateral%20Investment%20Treaty.pdf" TargetMode="External"/><Relationship Id="rId49" Type="http://schemas.openxmlformats.org/officeDocument/2006/relationships/hyperlink" Target="http://www.cncd.be/L-arbitrage-investisseur-Etat-un" TargetMode="External"/><Relationship Id="rId1" Type="http://schemas.openxmlformats.org/officeDocument/2006/relationships/hyperlink" Target="http://download.krone.at/pdf/ceta.pdf" TargetMode="External"/><Relationship Id="rId2" Type="http://schemas.openxmlformats.org/officeDocument/2006/relationships/hyperlink" Target="http://participer.stop-ttip.be/groups/22/files/579" TargetMode="External"/><Relationship Id="rId3" Type="http://schemas.openxmlformats.org/officeDocument/2006/relationships/hyperlink" Target="http://www.ase.tufts.edu/gdae/policy_research/ceta_simulations.html" TargetMode="External"/><Relationship Id="rId4" Type="http://schemas.openxmlformats.org/officeDocument/2006/relationships/hyperlink" Target="http://www.ase.tufts.edu/gdae/policy_research/ceta_simulations.html" TargetMode="External"/><Relationship Id="rId5" Type="http://schemas.openxmlformats.org/officeDocument/2006/relationships/hyperlink" Target="http://participer.stop-ttip.be/groups/22/files/579" TargetMode="External"/><Relationship Id="rId6" Type="http://schemas.openxmlformats.org/officeDocument/2006/relationships/hyperlink" Target="http://canadians.org/sites/default/files/CETA%2520Opinion%2520Final%2520%252800918287%2529.pdf" TargetMode="External"/><Relationship Id="rId7" Type="http://schemas.openxmlformats.org/officeDocument/2006/relationships/hyperlink" Target="http://canadians.org/media/ceta-interpretive-declaration-legal-opinion" TargetMode="External"/><Relationship Id="rId8" Type="http://schemas.openxmlformats.org/officeDocument/2006/relationships/hyperlink" Target="http://corporateeurope.org/trade/2013/12/regulation-none-our-business" TargetMode="External"/><Relationship Id="rId9" Type="http://schemas.openxmlformats.org/officeDocument/2006/relationships/hyperlink" Target="http://www.un.org/french/events/rio92/rio-fp.htm" TargetMode="External"/><Relationship Id="rId30" Type="http://schemas.openxmlformats.org/officeDocument/2006/relationships/hyperlink" Target="http://trade.ec.europa.eu/doclib/docs/2014/september/tradoc_152806.pdf" TargetMode="External"/><Relationship Id="rId31" Type="http://schemas.openxmlformats.org/officeDocument/2006/relationships/hyperlink" Target="http://participer.stop-ttip.be/groups/14/files/138" TargetMode="External"/><Relationship Id="rId32" Type="http://schemas.openxmlformats.org/officeDocument/2006/relationships/hyperlink" Target="http://nautilus.parlement-wallon.be/Archives/2014_2015/CRAC/crac166.pdf" TargetMode="External"/><Relationship Id="rId33" Type="http://schemas.openxmlformats.org/officeDocument/2006/relationships/hyperlink" Target="http://trade.ec.europa.eu/doclib/docs/2016/april/tradoc_154427.pdf" TargetMode="External"/><Relationship Id="rId34" Type="http://schemas.openxmlformats.org/officeDocument/2006/relationships/hyperlink" Target="https://www.csee-etuce.org/fr/actions/campaigns/exclude-education-from-ttip/292-what-is-the-ttip-2" TargetMode="External"/><Relationship Id="rId35" Type="http://schemas.openxmlformats.org/officeDocument/2006/relationships/hyperlink" Target="http://trade.ec.europa.eu/doclib/docs/2014/september/tradoc_152806.pdf" TargetMode="External"/><Relationship Id="rId36" Type="http://schemas.openxmlformats.org/officeDocument/2006/relationships/hyperlink" Target="https://www.csee-etuce.org/images/attachments/RP_20150115_TSem_TTIP_Vienna-FR.pdf" TargetMode="External"/><Relationship Id="rId37" Type="http://schemas.openxmlformats.org/officeDocument/2006/relationships/hyperlink" Target="http://www.npr.org/sections/ed/2016/07/11/484364476/im-a-student-debt-slave-howd-we-get-here" TargetMode="External"/><Relationship Id="rId38" Type="http://schemas.openxmlformats.org/officeDocument/2006/relationships/hyperlink" Target="http://trade.ec.europa.eu/doclib/docs/2014/september/tradoc_152806.pdf" TargetMode="External"/><Relationship Id="rId39" Type="http://schemas.openxmlformats.org/officeDocument/2006/relationships/hyperlink" Target="http://www.cgspwallonne.be/images/documentations/dossiers_thematiques/Dossier_cheminots_tribune_long.pdf" TargetMode="External"/><Relationship Id="rId20" Type="http://schemas.openxmlformats.org/officeDocument/2006/relationships/hyperlink" Target="http://participer.stop-ttip.be/groups/14/files/173" TargetMode="External"/><Relationship Id="rId21" Type="http://schemas.openxmlformats.org/officeDocument/2006/relationships/hyperlink" Target="http://www.cncd.be/Traites-transatlantiques-le-slalom" TargetMode="External"/><Relationship Id="rId22" Type="http://schemas.openxmlformats.org/officeDocument/2006/relationships/hyperlink" Target="http://www.cncd.be/Traites-transatlantiques-le-slalom" TargetMode="External"/><Relationship Id="rId23" Type="http://schemas.openxmlformats.org/officeDocument/2006/relationships/hyperlink" Target="http://corporateeurope.org/international-trade/2014/07/who-lobbies-most-ttip" TargetMode="External"/><Relationship Id="rId24" Type="http://schemas.openxmlformats.org/officeDocument/2006/relationships/hyperlink" Target="https://www.tni.org/files/publication-downloads/making-sense-of-ceta_22092016.pdf" TargetMode="External"/><Relationship Id="rId25" Type="http://schemas.openxmlformats.org/officeDocument/2006/relationships/hyperlink" Target="http://www.europaforum.public.lu/fr/actualites/2016/06/csl-ceta/16-06-02-CETA.pdf" TargetMode="External"/><Relationship Id="rId26" Type="http://schemas.openxmlformats.org/officeDocument/2006/relationships/hyperlink" Target="http://nautilus.parlement-wallon.be/Archives/2014_2015/CRAC/crac166.pdf" TargetMode="External"/><Relationship Id="rId27" Type="http://schemas.openxmlformats.org/officeDocument/2006/relationships/hyperlink" Target="http://nautilus.parlement-wallon.be/Archives/2014_2015/CRAC/crac166.pdf" TargetMode="External"/><Relationship Id="rId28" Type="http://schemas.openxmlformats.org/officeDocument/2006/relationships/hyperlink" Target="http://www.epsu.org/sites/default/files/article/files/DGB_Position_CETA_english.pdf" TargetMode="External"/><Relationship Id="rId29" Type="http://schemas.openxmlformats.org/officeDocument/2006/relationships/hyperlink" Target="http://unstats.un.org/unsd/cr/registry/cpc-21.asp" TargetMode="External"/><Relationship Id="rId60" Type="http://schemas.openxmlformats.org/officeDocument/2006/relationships/hyperlink" Target="https://drive.google.com/file/d/0B-9LKmU8kn8qdWJUNW45TDBtSmc/view?usp=sharing" TargetMode="External"/><Relationship Id="rId61" Type="http://schemas.openxmlformats.org/officeDocument/2006/relationships/hyperlink" Target="http://corporateeurope.org/sites/default/files/attachments/grande-offensive-services-publics.pdf" TargetMode="External"/><Relationship Id="rId62" Type="http://schemas.openxmlformats.org/officeDocument/2006/relationships/hyperlink" Target="http://www.akeuropa.eu/_includes/mods/akeu/docs/main_report_en_415.pdf" TargetMode="External"/><Relationship Id="rId10" Type="http://schemas.openxmlformats.org/officeDocument/2006/relationships/hyperlink" Target="https://www.theguardian.com/environment/2015/may/22/eu-dropped-pesticide-laws-due-to-us-pressure-over-ttip-documents-reveal" TargetMode="External"/><Relationship Id="rId11" Type="http://schemas.openxmlformats.org/officeDocument/2006/relationships/hyperlink" Target="http://participer.stop-ttip.be/groups/14/files/211" TargetMode="External"/><Relationship Id="rId12" Type="http://schemas.openxmlformats.org/officeDocument/2006/relationships/hyperlink" Target="https://edri.org/ceta-puts-protection-privacy-and-personal-data-at-risk/"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87122-7D53-1B47-A00A-924888AC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24</Pages>
  <Words>9223</Words>
  <Characters>50732</Characters>
  <Application>Microsoft Macintosh Word</Application>
  <DocSecurity>0</DocSecurity>
  <Lines>422</Lines>
  <Paragraphs>119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26</cp:revision>
  <dcterms:created xsi:type="dcterms:W3CDTF">2016-10-06T09:22:00Z</dcterms:created>
  <dcterms:modified xsi:type="dcterms:W3CDTF">2016-10-07T09:44:00Z</dcterms:modified>
</cp:coreProperties>
</file>